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ABD" w14:paraId="2C72993C" w14:textId="77777777" w:rsidTr="008A7ABD">
        <w:tc>
          <w:tcPr>
            <w:tcW w:w="9016" w:type="dxa"/>
          </w:tcPr>
          <w:p w14:paraId="47CD5CEC" w14:textId="20C7F6EB" w:rsidR="008A7ABD" w:rsidRPr="008A7ABD" w:rsidRDefault="008A7ABD" w:rsidP="00866C73">
            <w:pPr>
              <w:pStyle w:val="Heading1"/>
              <w:spacing w:before="0" w:beforeAutospacing="0" w:after="0" w:afterAutospacing="0"/>
              <w:jc w:val="both"/>
              <w:rPr>
                <w:b w:val="0"/>
                <w:bCs w:val="0"/>
              </w:rPr>
            </w:pPr>
            <w:r w:rsidRPr="008A7A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Please cite as follows</w:t>
            </w:r>
            <w:r w:rsidRPr="008A7A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Pr="008A7AB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 Jong, M., Joss, S., 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Taeihagh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, A. (2024), 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1F1F1F"/>
                <w:sz w:val="22"/>
                <w:szCs w:val="22"/>
              </w:rPr>
              <w:t>Smart cities as spatial manifestations of 21st century capitalism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, </w:t>
            </w:r>
            <w:r w:rsidRPr="008A7ABD">
              <w:rPr>
                <w:rFonts w:asciiTheme="minorHAnsi" w:hAnsiTheme="minorHAnsi" w:cstheme="minorHAnsi"/>
                <w:b w:val="0"/>
                <w:bCs w:val="0"/>
                <w:i/>
                <w:iCs/>
                <w:color w:val="1F1F1F"/>
                <w:sz w:val="22"/>
                <w:szCs w:val="22"/>
              </w:rPr>
              <w:t>Technological Forecasting and Social Change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vol 202, 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1F1F1F"/>
                <w:sz w:val="22"/>
                <w:szCs w:val="22"/>
              </w:rPr>
              <w:t>123299</w:t>
            </w:r>
            <w:r w:rsidRPr="008A7ABD">
              <w:rPr>
                <w:rFonts w:asciiTheme="minorHAnsi" w:hAnsiTheme="minorHAnsi" w:cstheme="minorHAnsi"/>
                <w:b w:val="0"/>
                <w:bCs w:val="0"/>
                <w:color w:val="1F1F1F"/>
                <w:sz w:val="22"/>
                <w:szCs w:val="22"/>
              </w:rPr>
              <w:t xml:space="preserve">, </w:t>
            </w:r>
            <w:hyperlink r:id="rId7" w:history="1">
              <w:r w:rsidRPr="00EB119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https://doi.org/10.1016/j.techfore.2024.123299</w:t>
              </w:r>
            </w:hyperlink>
          </w:p>
        </w:tc>
      </w:tr>
    </w:tbl>
    <w:p w14:paraId="132F3C4A" w14:textId="79E7F1F2" w:rsidR="008A7ABD" w:rsidRDefault="008A7ABD" w:rsidP="00866C73">
      <w:pPr>
        <w:jc w:val="both"/>
      </w:pPr>
    </w:p>
    <w:p w14:paraId="574CD5FC" w14:textId="20561514" w:rsidR="008A7ABD" w:rsidRDefault="008A7ABD" w:rsidP="00866C73">
      <w:pPr>
        <w:jc w:val="both"/>
        <w:rPr>
          <w:b/>
          <w:bCs/>
          <w:sz w:val="28"/>
          <w:szCs w:val="28"/>
        </w:rPr>
      </w:pPr>
      <w:r w:rsidRPr="008A7ABD">
        <w:rPr>
          <w:b/>
          <w:bCs/>
          <w:sz w:val="28"/>
          <w:szCs w:val="28"/>
        </w:rPr>
        <w:t>Defining The ‘Smart City’ – A Spatial Typology</w:t>
      </w:r>
    </w:p>
    <w:p w14:paraId="0552700D" w14:textId="5527789B" w:rsidR="00552D47" w:rsidRPr="00D47BB3" w:rsidRDefault="00D47BB3" w:rsidP="00866C73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Martin de Jong, Simon Joss, and Araz Taeihagh</w:t>
      </w:r>
    </w:p>
    <w:p w14:paraId="2C4A3897" w14:textId="36DD9C95" w:rsidR="00A6729E" w:rsidRDefault="00A6729E" w:rsidP="00866C73">
      <w:pPr>
        <w:jc w:val="both"/>
      </w:pPr>
      <w:r>
        <w:t>As widely acknowledged, the smart city has become a major 21</w:t>
      </w:r>
      <w:r w:rsidRPr="00A6729E">
        <w:rPr>
          <w:vertAlign w:val="superscript"/>
        </w:rPr>
        <w:t>st</w:t>
      </w:r>
      <w:r>
        <w:t xml:space="preserve"> century urban paradigm. </w:t>
      </w:r>
      <w:r w:rsidR="00866C73">
        <w:t>Y</w:t>
      </w:r>
      <w:r>
        <w:t>et, it</w:t>
      </w:r>
      <w:r w:rsidR="0007360E">
        <w:t xml:space="preserve"> </w:t>
      </w:r>
      <w:r>
        <w:t>often</w:t>
      </w:r>
      <w:r w:rsidR="00C54E20">
        <w:t xml:space="preserve"> remains</w:t>
      </w:r>
      <w:r>
        <w:t xml:space="preserve"> ill-defined. At times, it is described tautologically as consisting of ‘smart buildings</w:t>
      </w:r>
      <w:proofErr w:type="gramStart"/>
      <w:r>
        <w:t>’,</w:t>
      </w:r>
      <w:proofErr w:type="gramEnd"/>
      <w:r>
        <w:t xml:space="preserve"> ‘smart infrastructure’, ‘smart transport’, ‘smart governance’</w:t>
      </w:r>
      <w:r w:rsidR="0007360E">
        <w:t>,</w:t>
      </w:r>
      <w:r>
        <w:t xml:space="preserve"> ‘smart people’</w:t>
      </w:r>
      <w:r w:rsidR="0007360E">
        <w:t xml:space="preserve"> etc</w:t>
      </w:r>
      <w:r>
        <w:t xml:space="preserve">. </w:t>
      </w:r>
      <w:r w:rsidR="0007360E">
        <w:t>S</w:t>
      </w:r>
      <w:r>
        <w:t>cholars and practitioners have argued that,</w:t>
      </w:r>
      <w:r w:rsidR="0007360E">
        <w:t xml:space="preserve"> instead of </w:t>
      </w:r>
      <w:proofErr w:type="gramStart"/>
      <w:r w:rsidR="0007360E">
        <w:t>getting caught</w:t>
      </w:r>
      <w:proofErr w:type="gramEnd"/>
      <w:r w:rsidR="0007360E">
        <w:t xml:space="preserve"> up in definitional debates, attention should be paid to how the ‘actually existing’ smart city variously materialises in towns and cities across the world. Still, the question of how we conceptu</w:t>
      </w:r>
      <w:r w:rsidR="00430CFC">
        <w:t xml:space="preserve">alise </w:t>
      </w:r>
      <w:r w:rsidR="0007360E">
        <w:t>and define the smart city remains</w:t>
      </w:r>
      <w:r w:rsidR="00C609E3">
        <w:t xml:space="preserve"> important</w:t>
      </w:r>
      <w:r w:rsidR="00430CFC">
        <w:t>.</w:t>
      </w:r>
    </w:p>
    <w:p w14:paraId="132C0943" w14:textId="1F6A404F" w:rsidR="0007360E" w:rsidRDefault="000F485C" w:rsidP="00866C73">
      <w:pPr>
        <w:jc w:val="both"/>
      </w:pPr>
      <w:r>
        <w:t>In connection with</w:t>
      </w:r>
      <w:r w:rsidR="007B1EC2">
        <w:t xml:space="preserve"> </w:t>
      </w:r>
      <w:r>
        <w:t xml:space="preserve">research into </w:t>
      </w:r>
      <w:r w:rsidR="008329D8">
        <w:t>th</w:t>
      </w:r>
      <w:r w:rsidR="00334420">
        <w:t>e</w:t>
      </w:r>
      <w:r w:rsidR="007B1EC2">
        <w:t xml:space="preserve"> relationship between the</w:t>
      </w:r>
      <w:r w:rsidR="00334420">
        <w:t xml:space="preserve"> smart city </w:t>
      </w:r>
      <w:r w:rsidR="007B1EC2">
        <w:t xml:space="preserve">and </w:t>
      </w:r>
      <w:r w:rsidR="00334420">
        <w:t>21</w:t>
      </w:r>
      <w:r w:rsidR="00334420" w:rsidRPr="00334420">
        <w:rPr>
          <w:vertAlign w:val="superscript"/>
        </w:rPr>
        <w:t>st</w:t>
      </w:r>
      <w:r w:rsidR="00334420">
        <w:t xml:space="preserve"> century capitalism, we </w:t>
      </w:r>
      <w:r w:rsidR="00CB460C">
        <w:t>opted to</w:t>
      </w:r>
      <w:r w:rsidR="00BF0211">
        <w:t xml:space="preserve"> </w:t>
      </w:r>
      <w:r w:rsidR="008329D8">
        <w:t>define</w:t>
      </w:r>
      <w:r w:rsidR="00860D25">
        <w:t xml:space="preserve"> the smart city from </w:t>
      </w:r>
      <w:r w:rsidR="0004471C">
        <w:t xml:space="preserve">a spatial perspective. </w:t>
      </w:r>
      <w:r w:rsidR="00631B86">
        <w:t xml:space="preserve">That is, </w:t>
      </w:r>
      <w:proofErr w:type="gramStart"/>
      <w:r w:rsidR="00631B86">
        <w:t>in order to</w:t>
      </w:r>
      <w:proofErr w:type="gramEnd"/>
      <w:r w:rsidR="00631B86">
        <w:t xml:space="preserve"> analyse how capital accumulation intervenes in, and </w:t>
      </w:r>
      <w:r w:rsidR="000D7589">
        <w:t xml:space="preserve">is enacted through, the smart city, we </w:t>
      </w:r>
      <w:r w:rsidR="00D972D5">
        <w:t xml:space="preserve">identified six </w:t>
      </w:r>
      <w:r w:rsidR="00B65FD9">
        <w:t>spatial manifestations</w:t>
      </w:r>
      <w:r w:rsidR="008F362D">
        <w:t>,</w:t>
      </w:r>
      <w:r w:rsidR="00786918">
        <w:t xml:space="preserve"> as </w:t>
      </w:r>
      <w:r w:rsidR="007B5355">
        <w:t>summarised</w:t>
      </w:r>
      <w:r w:rsidR="00786918">
        <w:t xml:space="preserve"> below. </w:t>
      </w:r>
      <w:r w:rsidR="00F74B63">
        <w:t xml:space="preserve">Each </w:t>
      </w:r>
      <w:r w:rsidR="00994F5F">
        <w:t xml:space="preserve">type </w:t>
      </w:r>
      <w:r w:rsidR="00A900AF">
        <w:t xml:space="preserve">not only represents a distinct spatial scale and </w:t>
      </w:r>
      <w:r w:rsidR="00172D6B">
        <w:t xml:space="preserve">urban </w:t>
      </w:r>
      <w:r w:rsidR="0098059D">
        <w:t>configuration</w:t>
      </w:r>
      <w:r w:rsidR="00CE4294">
        <w:t xml:space="preserve">, but also </w:t>
      </w:r>
      <w:r w:rsidR="008F6152">
        <w:t>particular</w:t>
      </w:r>
      <w:r w:rsidR="00A05E79">
        <w:t xml:space="preserve"> combinations of </w:t>
      </w:r>
      <w:r w:rsidR="00DD55A1">
        <w:t xml:space="preserve">actors </w:t>
      </w:r>
      <w:r w:rsidR="0098059D">
        <w:t>engaged</w:t>
      </w:r>
      <w:r w:rsidR="00DD55A1">
        <w:t xml:space="preserve"> in the implementation of smart city missions.</w:t>
      </w:r>
      <w:r w:rsidR="005375F6">
        <w:t xml:space="preserve"> In short, </w:t>
      </w:r>
      <w:r w:rsidR="005375F6" w:rsidRPr="00724039">
        <w:t>we define the smart city as</w:t>
      </w:r>
      <w:r w:rsidR="007B5355">
        <w:rPr>
          <w:i/>
          <w:iCs/>
        </w:rPr>
        <w:t xml:space="preserve"> </w:t>
      </w:r>
      <w:r w:rsidR="00D57DD0" w:rsidRPr="000224CD">
        <w:rPr>
          <w:i/>
          <w:iCs/>
        </w:rPr>
        <w:t>digital-urban</w:t>
      </w:r>
      <w:r w:rsidR="005A2802" w:rsidRPr="000224CD">
        <w:rPr>
          <w:i/>
          <w:iCs/>
        </w:rPr>
        <w:t xml:space="preserve"> interventions </w:t>
      </w:r>
      <w:r w:rsidR="00724039" w:rsidRPr="000224CD">
        <w:rPr>
          <w:i/>
          <w:iCs/>
        </w:rPr>
        <w:t xml:space="preserve">that occur </w:t>
      </w:r>
      <w:r w:rsidR="005A2802" w:rsidRPr="000224CD">
        <w:rPr>
          <w:i/>
          <w:iCs/>
        </w:rPr>
        <w:t xml:space="preserve">at </w:t>
      </w:r>
      <w:r w:rsidR="009443D8" w:rsidRPr="000224CD">
        <w:rPr>
          <w:i/>
          <w:iCs/>
        </w:rPr>
        <w:t>different</w:t>
      </w:r>
      <w:r w:rsidR="005A2802" w:rsidRPr="000224CD">
        <w:rPr>
          <w:i/>
          <w:iCs/>
        </w:rPr>
        <w:t xml:space="preserve"> </w:t>
      </w:r>
      <w:r w:rsidR="00E47331" w:rsidRPr="000224CD">
        <w:rPr>
          <w:i/>
          <w:iCs/>
        </w:rPr>
        <w:t>spatial</w:t>
      </w:r>
      <w:r w:rsidR="005A2802" w:rsidRPr="000224CD">
        <w:rPr>
          <w:i/>
          <w:iCs/>
        </w:rPr>
        <w:t xml:space="preserve"> scales</w:t>
      </w:r>
      <w:r w:rsidR="00724039" w:rsidRPr="000224CD">
        <w:rPr>
          <w:i/>
          <w:iCs/>
        </w:rPr>
        <w:t xml:space="preserve"> and</w:t>
      </w:r>
      <w:r w:rsidR="00E5348C" w:rsidRPr="000224CD">
        <w:rPr>
          <w:i/>
          <w:iCs/>
        </w:rPr>
        <w:t xml:space="preserve"> </w:t>
      </w:r>
      <w:r w:rsidR="005A2802" w:rsidRPr="000224CD">
        <w:rPr>
          <w:i/>
          <w:iCs/>
        </w:rPr>
        <w:t>involv</w:t>
      </w:r>
      <w:r w:rsidR="00724039" w:rsidRPr="000224CD">
        <w:rPr>
          <w:i/>
          <w:iCs/>
        </w:rPr>
        <w:t>e</w:t>
      </w:r>
      <w:r w:rsidR="005A2802" w:rsidRPr="000224CD">
        <w:rPr>
          <w:i/>
          <w:iCs/>
        </w:rPr>
        <w:t xml:space="preserve"> different configurations of actors and resources</w:t>
      </w:r>
      <w:r w:rsidR="005A2802" w:rsidRPr="00724039">
        <w:t xml:space="preserve">, </w:t>
      </w:r>
      <w:r w:rsidR="00036224" w:rsidRPr="00724039">
        <w:t>consisting of</w:t>
      </w:r>
      <w:r w:rsidR="005A2802" w:rsidRPr="00724039">
        <w:t xml:space="preserve"> six main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93E5E" w14:paraId="365141BC" w14:textId="77777777" w:rsidTr="00293E5E">
        <w:tc>
          <w:tcPr>
            <w:tcW w:w="9016" w:type="dxa"/>
            <w:gridSpan w:val="2"/>
            <w:shd w:val="clear" w:color="auto" w:fill="E7E6E6" w:themeFill="background2"/>
          </w:tcPr>
          <w:p w14:paraId="74B3F1D4" w14:textId="6CCA76FC" w:rsidR="00293E5E" w:rsidRPr="00293E5E" w:rsidRDefault="00293E5E" w:rsidP="00293E5E">
            <w:pPr>
              <w:rPr>
                <w:b/>
                <w:bCs/>
              </w:rPr>
            </w:pPr>
            <w:r w:rsidRPr="00293E5E">
              <w:rPr>
                <w:b/>
                <w:bCs/>
              </w:rPr>
              <w:t>Six spatial manifestations of the smart city</w:t>
            </w:r>
          </w:p>
        </w:tc>
      </w:tr>
      <w:tr w:rsidR="00FF771F" w14:paraId="306FAC51" w14:textId="77777777" w:rsidTr="00F0410C">
        <w:tc>
          <w:tcPr>
            <w:tcW w:w="3681" w:type="dxa"/>
          </w:tcPr>
          <w:p w14:paraId="6AE3C22D" w14:textId="7BD056E3" w:rsidR="00FF771F" w:rsidRDefault="00860EFC" w:rsidP="00866C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Science park</w:t>
            </w:r>
            <w:r w:rsidR="00763C65">
              <w:t>s</w:t>
            </w:r>
            <w:r>
              <w:t xml:space="preserve"> and s</w:t>
            </w:r>
            <w:r w:rsidR="009F435F">
              <w:t>mart campus</w:t>
            </w:r>
            <w:r w:rsidR="00763C65">
              <w:t>es</w:t>
            </w:r>
          </w:p>
        </w:tc>
        <w:tc>
          <w:tcPr>
            <w:tcW w:w="5335" w:type="dxa"/>
          </w:tcPr>
          <w:p w14:paraId="3E9D37BA" w14:textId="3A33B4DE" w:rsidR="00FF771F" w:rsidRDefault="00944BA8" w:rsidP="00866C73">
            <w:pPr>
              <w:jc w:val="both"/>
            </w:pPr>
            <w:r>
              <w:t>C</w:t>
            </w:r>
            <w:r w:rsidR="00366EA6">
              <w:t>luster</w:t>
            </w:r>
            <w:r w:rsidR="00A73FEE">
              <w:t>s</w:t>
            </w:r>
            <w:r w:rsidR="00366EA6">
              <w:t xml:space="preserve"> of </w:t>
            </w:r>
            <w:r w:rsidR="00D533BB">
              <w:t>research establishments, technology firms and educational organisations</w:t>
            </w:r>
            <w:r>
              <w:t xml:space="preserve"> occupying small urban footprint – larger </w:t>
            </w:r>
            <w:r w:rsidR="00FE70C9">
              <w:t>than a single plot</w:t>
            </w:r>
            <w:r w:rsidR="00655A95">
              <w:t>/building block, but smaller than a neighbourhood</w:t>
            </w:r>
            <w:r w:rsidR="00F056AD">
              <w:t>.</w:t>
            </w:r>
          </w:p>
        </w:tc>
      </w:tr>
      <w:tr w:rsidR="00FF771F" w14:paraId="47A6F3C1" w14:textId="77777777" w:rsidTr="00F0410C">
        <w:tc>
          <w:tcPr>
            <w:tcW w:w="3681" w:type="dxa"/>
          </w:tcPr>
          <w:p w14:paraId="47327FC9" w14:textId="02A249F0" w:rsidR="00FF771F" w:rsidRDefault="00860EFC" w:rsidP="00866C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Innovation district</w:t>
            </w:r>
            <w:r w:rsidR="00763C65">
              <w:t>s</w:t>
            </w:r>
          </w:p>
        </w:tc>
        <w:tc>
          <w:tcPr>
            <w:tcW w:w="5335" w:type="dxa"/>
          </w:tcPr>
          <w:p w14:paraId="775D0C1F" w14:textId="4F1B22B5" w:rsidR="00FF771F" w:rsidRDefault="00BF570A" w:rsidP="00866C73">
            <w:pPr>
              <w:jc w:val="both"/>
            </w:pPr>
            <w:proofErr w:type="gramStart"/>
            <w:r>
              <w:t>Similar to</w:t>
            </w:r>
            <w:proofErr w:type="gramEnd"/>
            <w:r>
              <w:t xml:space="preserve"> type 1</w:t>
            </w:r>
            <w:r w:rsidR="004201D4">
              <w:t xml:space="preserve"> with focus on knowledge, technology and creative industries</w:t>
            </w:r>
            <w:r>
              <w:t xml:space="preserve"> but </w:t>
            </w:r>
            <w:r w:rsidR="0046538B">
              <w:t xml:space="preserve">(a) </w:t>
            </w:r>
            <w:r w:rsidR="00660AEC">
              <w:t>with larger spatial footprint</w:t>
            </w:r>
            <w:r w:rsidR="0046538B">
              <w:t xml:space="preserve"> and more central location and (b)</w:t>
            </w:r>
            <w:r w:rsidR="00255FDA">
              <w:t xml:space="preserve"> </w:t>
            </w:r>
            <w:r w:rsidR="008E5BA6">
              <w:t>including</w:t>
            </w:r>
            <w:r w:rsidR="00255FDA">
              <w:t xml:space="preserve"> mixed-used housing, retail and </w:t>
            </w:r>
            <w:r w:rsidR="0082632E">
              <w:t>cultural</w:t>
            </w:r>
            <w:r w:rsidR="00255FDA">
              <w:t xml:space="preserve"> amenities</w:t>
            </w:r>
            <w:r w:rsidR="004201D4">
              <w:t>.</w:t>
            </w:r>
          </w:p>
        </w:tc>
      </w:tr>
      <w:tr w:rsidR="00FF771F" w14:paraId="231CE5F8" w14:textId="77777777" w:rsidTr="00F0410C">
        <w:tc>
          <w:tcPr>
            <w:tcW w:w="3681" w:type="dxa"/>
          </w:tcPr>
          <w:p w14:paraId="6AE1FB91" w14:textId="5F0F6BDE" w:rsidR="00FF771F" w:rsidRDefault="00860EFC" w:rsidP="00866C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Smart neighbourhood</w:t>
            </w:r>
            <w:r w:rsidR="008E5BA6">
              <w:t>s</w:t>
            </w:r>
          </w:p>
        </w:tc>
        <w:tc>
          <w:tcPr>
            <w:tcW w:w="5335" w:type="dxa"/>
          </w:tcPr>
          <w:p w14:paraId="7A7CDC50" w14:textId="62F879FE" w:rsidR="00FF771F" w:rsidRDefault="003614B8" w:rsidP="00866C73">
            <w:pPr>
              <w:jc w:val="both"/>
            </w:pPr>
            <w:r>
              <w:t xml:space="preserve">Digital </w:t>
            </w:r>
            <w:r w:rsidR="00F7493F">
              <w:t>interventions in bounded r</w:t>
            </w:r>
            <w:r>
              <w:t>esidential neighbourhoods</w:t>
            </w:r>
            <w:r w:rsidR="00F7493F">
              <w:t xml:space="preserve">, </w:t>
            </w:r>
            <w:r w:rsidR="00BE32A9">
              <w:t xml:space="preserve">typically motivated by </w:t>
            </w:r>
            <w:r w:rsidR="007F72D1">
              <w:t xml:space="preserve">dual aim of </w:t>
            </w:r>
            <w:r w:rsidR="00311431">
              <w:t>implementing</w:t>
            </w:r>
            <w:r w:rsidR="00BE0D3C">
              <w:t xml:space="preserve"> low-carbon</w:t>
            </w:r>
            <w:r w:rsidR="0012441D">
              <w:t xml:space="preserve"> energy</w:t>
            </w:r>
            <w:r w:rsidR="00BE0D3C">
              <w:t xml:space="preserve"> transition and</w:t>
            </w:r>
            <w:r w:rsidR="007F72D1">
              <w:t xml:space="preserve"> </w:t>
            </w:r>
            <w:r w:rsidR="00311431">
              <w:t>encouraging</w:t>
            </w:r>
            <w:r w:rsidR="00BE0D3C">
              <w:t xml:space="preserve"> </w:t>
            </w:r>
            <w:r w:rsidR="004D117A">
              <w:t>socio-economic regeneration</w:t>
            </w:r>
            <w:r w:rsidR="0012441D">
              <w:t>.</w:t>
            </w:r>
          </w:p>
        </w:tc>
      </w:tr>
      <w:tr w:rsidR="00FF771F" w14:paraId="6C2F8AE5" w14:textId="77777777" w:rsidTr="00F0410C">
        <w:tc>
          <w:tcPr>
            <w:tcW w:w="3681" w:type="dxa"/>
          </w:tcPr>
          <w:p w14:paraId="26AF2D24" w14:textId="55FC88DE" w:rsidR="00FF771F" w:rsidRDefault="00860EFC" w:rsidP="00866C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City-wide</w:t>
            </w:r>
            <w:r w:rsidR="00D81C8D">
              <w:t xml:space="preserve">, </w:t>
            </w:r>
            <w:proofErr w:type="gramStart"/>
            <w:r w:rsidR="00D81C8D">
              <w:t>metropolitan</w:t>
            </w:r>
            <w:proofErr w:type="gramEnd"/>
            <w:r w:rsidR="00D81C8D">
              <w:t xml:space="preserve"> and city-regional smart city initiatives</w:t>
            </w:r>
          </w:p>
        </w:tc>
        <w:tc>
          <w:tcPr>
            <w:tcW w:w="5335" w:type="dxa"/>
          </w:tcPr>
          <w:p w14:paraId="296393F3" w14:textId="7E5E02C1" w:rsidR="00FF771F" w:rsidRDefault="00EF468D" w:rsidP="00866C73">
            <w:pPr>
              <w:jc w:val="both"/>
            </w:pPr>
            <w:r>
              <w:t>City-wide or city-regional l</w:t>
            </w:r>
            <w:r w:rsidR="003F24B1">
              <w:t xml:space="preserve">arge-scale, systemic intervention relating to infrastructure (energy, transport, housing </w:t>
            </w:r>
            <w:proofErr w:type="gramStart"/>
            <w:r w:rsidR="003F24B1">
              <w:t>etc.</w:t>
            </w:r>
            <w:proofErr w:type="gramEnd"/>
            <w:r w:rsidR="003F24B1">
              <w:t>)</w:t>
            </w:r>
            <w:r w:rsidR="00E54545">
              <w:t xml:space="preserve"> and/or</w:t>
            </w:r>
            <w:r w:rsidR="00303F3C">
              <w:t xml:space="preserve"> e-government</w:t>
            </w:r>
            <w:r>
              <w:t xml:space="preserve">, </w:t>
            </w:r>
            <w:r w:rsidR="00AB7141">
              <w:t xml:space="preserve">often </w:t>
            </w:r>
            <w:r w:rsidR="00E54545">
              <w:t xml:space="preserve">requiring </w:t>
            </w:r>
            <w:r w:rsidR="00AB7141">
              <w:t xml:space="preserve">substantial </w:t>
            </w:r>
            <w:r w:rsidR="00E54545">
              <w:t>public-private partnerships.</w:t>
            </w:r>
          </w:p>
        </w:tc>
      </w:tr>
      <w:tr w:rsidR="00FF771F" w14:paraId="18564C13" w14:textId="77777777" w:rsidTr="00F0410C">
        <w:tc>
          <w:tcPr>
            <w:tcW w:w="3681" w:type="dxa"/>
          </w:tcPr>
          <w:p w14:paraId="76F0672D" w14:textId="23C20E06" w:rsidR="00FF771F" w:rsidRDefault="009173E4" w:rsidP="00866C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Urban platforms</w:t>
            </w:r>
          </w:p>
        </w:tc>
        <w:tc>
          <w:tcPr>
            <w:tcW w:w="5335" w:type="dxa"/>
          </w:tcPr>
          <w:p w14:paraId="7FB33071" w14:textId="6A02033B" w:rsidR="00FF771F" w:rsidRDefault="005010B0" w:rsidP="00866C73">
            <w:pPr>
              <w:jc w:val="both"/>
            </w:pPr>
            <w:r>
              <w:t xml:space="preserve">City-wide application of mostly commercial </w:t>
            </w:r>
            <w:r w:rsidR="00D0023B">
              <w:t xml:space="preserve">digital platforms offering consumer services (ride-hailing, food delivery, </w:t>
            </w:r>
            <w:r w:rsidR="00350500">
              <w:t xml:space="preserve">lodging </w:t>
            </w:r>
            <w:proofErr w:type="gramStart"/>
            <w:r w:rsidR="00350500">
              <w:t>etc.</w:t>
            </w:r>
            <w:proofErr w:type="gramEnd"/>
            <w:r w:rsidR="00350500">
              <w:t>), reliant on existing urban infrastructure</w:t>
            </w:r>
            <w:r w:rsidR="00156899">
              <w:t>s</w:t>
            </w:r>
            <w:r w:rsidR="00E720BE">
              <w:t>, business partners and workers.</w:t>
            </w:r>
          </w:p>
        </w:tc>
      </w:tr>
      <w:tr w:rsidR="00FF771F" w14:paraId="7AD115D9" w14:textId="77777777" w:rsidTr="00F0410C">
        <w:tc>
          <w:tcPr>
            <w:tcW w:w="3681" w:type="dxa"/>
          </w:tcPr>
          <w:p w14:paraId="41B13378" w14:textId="590A7688" w:rsidR="00FF771F" w:rsidRDefault="009173E4" w:rsidP="00866C7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Alternative smart city spaces</w:t>
            </w:r>
          </w:p>
        </w:tc>
        <w:tc>
          <w:tcPr>
            <w:tcW w:w="5335" w:type="dxa"/>
          </w:tcPr>
          <w:p w14:paraId="46104FC5" w14:textId="45BF3E24" w:rsidR="00FF771F" w:rsidRDefault="00922768" w:rsidP="00866C73">
            <w:pPr>
              <w:jc w:val="both"/>
            </w:pPr>
            <w:r>
              <w:t>Critical</w:t>
            </w:r>
            <w:r w:rsidR="009F3025">
              <w:t xml:space="preserve"> interventions by urban activists</w:t>
            </w:r>
            <w:r>
              <w:t xml:space="preserve"> into </w:t>
            </w:r>
            <w:r w:rsidR="00B65D04">
              <w:t>the</w:t>
            </w:r>
            <w:r w:rsidR="00454BB2">
              <w:t xml:space="preserve"> </w:t>
            </w:r>
            <w:r>
              <w:t>corporate smart city</w:t>
            </w:r>
            <w:r w:rsidR="003E4DE5">
              <w:t xml:space="preserve">, albeit typically </w:t>
            </w:r>
            <w:r w:rsidR="000144DB">
              <w:t>ephemeral and punctual</w:t>
            </w:r>
            <w:r w:rsidR="00454BB2">
              <w:t xml:space="preserve"> and often struggling to gain traction and </w:t>
            </w:r>
            <w:r w:rsidR="00B65D04">
              <w:t>go mainstream.</w:t>
            </w:r>
          </w:p>
        </w:tc>
      </w:tr>
    </w:tbl>
    <w:p w14:paraId="13FA43F3" w14:textId="77777777" w:rsidR="004000E8" w:rsidRDefault="004000E8" w:rsidP="00866C73">
      <w:pPr>
        <w:jc w:val="both"/>
      </w:pPr>
    </w:p>
    <w:p w14:paraId="77845E82" w14:textId="3B855BFE" w:rsidR="006A1E2C" w:rsidRPr="00977409" w:rsidRDefault="006A1E2C" w:rsidP="00866C73">
      <w:pPr>
        <w:jc w:val="both"/>
      </w:pPr>
      <w:r>
        <w:t>For a full discussion of th</w:t>
      </w:r>
      <w:r w:rsidR="004000E8">
        <w:t>is</w:t>
      </w:r>
      <w:r>
        <w:t xml:space="preserve"> spatial </w:t>
      </w:r>
      <w:r w:rsidR="004000E8">
        <w:t xml:space="preserve">smart city </w:t>
      </w:r>
      <w:r>
        <w:t>typology, see section 3 (pp</w:t>
      </w:r>
      <w:r w:rsidR="004000E8">
        <w:t>.</w:t>
      </w:r>
      <w:r w:rsidR="00B336E7">
        <w:t xml:space="preserve"> 4-6) in the </w:t>
      </w:r>
      <w:r w:rsidR="004000E8">
        <w:t>above cited article.</w:t>
      </w:r>
    </w:p>
    <w:sectPr w:rsidR="006A1E2C" w:rsidRPr="009774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6E5E" w14:textId="77777777" w:rsidR="008A7ABD" w:rsidRDefault="008A7ABD" w:rsidP="008A7ABD">
      <w:pPr>
        <w:spacing w:after="0" w:line="240" w:lineRule="auto"/>
      </w:pPr>
      <w:r>
        <w:separator/>
      </w:r>
    </w:p>
  </w:endnote>
  <w:endnote w:type="continuationSeparator" w:id="0">
    <w:p w14:paraId="0C1ABBA5" w14:textId="77777777" w:rsidR="008A7ABD" w:rsidRDefault="008A7ABD" w:rsidP="008A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24D3" w14:textId="77777777" w:rsidR="008A7ABD" w:rsidRDefault="008A7ABD" w:rsidP="008A7ABD">
      <w:pPr>
        <w:spacing w:after="0" w:line="240" w:lineRule="auto"/>
      </w:pPr>
      <w:r>
        <w:separator/>
      </w:r>
    </w:p>
  </w:footnote>
  <w:footnote w:type="continuationSeparator" w:id="0">
    <w:p w14:paraId="00EA0CC5" w14:textId="77777777" w:rsidR="008A7ABD" w:rsidRDefault="008A7ABD" w:rsidP="008A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A698" w14:textId="6F870592" w:rsidR="008A7ABD" w:rsidRPr="008A7ABD" w:rsidRDefault="008A7ABD">
    <w:pPr>
      <w:pStyle w:val="Header"/>
      <w:rPr>
        <w:i/>
        <w:iCs/>
      </w:rPr>
    </w:pPr>
    <w:r w:rsidRPr="008A7ABD">
      <w:rPr>
        <w:i/>
        <w:iCs/>
      </w:rPr>
      <w:t>De Jong et al. (2024)</w:t>
    </w:r>
    <w:r w:rsidRPr="008A7ABD">
      <w:rPr>
        <w:i/>
        <w:iCs/>
      </w:rPr>
      <w:ptab w:relativeTo="margin" w:alignment="center" w:leader="none"/>
    </w:r>
    <w:r w:rsidRPr="008A7ABD">
      <w:rPr>
        <w:i/>
        <w:iCs/>
      </w:rPr>
      <w:ptab w:relativeTo="margin" w:alignment="right" w:leader="none"/>
    </w:r>
    <w:r w:rsidRPr="008A7ABD">
      <w:rPr>
        <w:i/>
        <w:iCs/>
      </w:rPr>
      <w:t>Supplementary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9D7"/>
    <w:multiLevelType w:val="hybridMultilevel"/>
    <w:tmpl w:val="53A2C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95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BD"/>
    <w:rsid w:val="000144DB"/>
    <w:rsid w:val="0002093C"/>
    <w:rsid w:val="000224CD"/>
    <w:rsid w:val="00036224"/>
    <w:rsid w:val="0004471C"/>
    <w:rsid w:val="000459CA"/>
    <w:rsid w:val="0007360E"/>
    <w:rsid w:val="000C73A9"/>
    <w:rsid w:val="000D7589"/>
    <w:rsid w:val="000F485C"/>
    <w:rsid w:val="00112D28"/>
    <w:rsid w:val="0012441D"/>
    <w:rsid w:val="00156899"/>
    <w:rsid w:val="00172463"/>
    <w:rsid w:val="00172D6B"/>
    <w:rsid w:val="00196907"/>
    <w:rsid w:val="002275E2"/>
    <w:rsid w:val="00255FDA"/>
    <w:rsid w:val="00293E5E"/>
    <w:rsid w:val="002F1FA5"/>
    <w:rsid w:val="002F6E22"/>
    <w:rsid w:val="00303F3C"/>
    <w:rsid w:val="00311431"/>
    <w:rsid w:val="00316590"/>
    <w:rsid w:val="003174E8"/>
    <w:rsid w:val="00334420"/>
    <w:rsid w:val="00350500"/>
    <w:rsid w:val="003614B8"/>
    <w:rsid w:val="00366EA6"/>
    <w:rsid w:val="00372ED2"/>
    <w:rsid w:val="003E4DE5"/>
    <w:rsid w:val="003F24B1"/>
    <w:rsid w:val="004000E8"/>
    <w:rsid w:val="004201D4"/>
    <w:rsid w:val="00430CFC"/>
    <w:rsid w:val="00454BB2"/>
    <w:rsid w:val="0046538B"/>
    <w:rsid w:val="004879E0"/>
    <w:rsid w:val="004D117A"/>
    <w:rsid w:val="004E5E63"/>
    <w:rsid w:val="005010B0"/>
    <w:rsid w:val="005375F6"/>
    <w:rsid w:val="00552D47"/>
    <w:rsid w:val="00556C74"/>
    <w:rsid w:val="005935D6"/>
    <w:rsid w:val="005A2802"/>
    <w:rsid w:val="005F5D15"/>
    <w:rsid w:val="006113BE"/>
    <w:rsid w:val="00631B86"/>
    <w:rsid w:val="00655A95"/>
    <w:rsid w:val="00660AEC"/>
    <w:rsid w:val="006A1E2C"/>
    <w:rsid w:val="006A37B8"/>
    <w:rsid w:val="00724039"/>
    <w:rsid w:val="0074748D"/>
    <w:rsid w:val="00763C65"/>
    <w:rsid w:val="007825E6"/>
    <w:rsid w:val="00786918"/>
    <w:rsid w:val="007942D2"/>
    <w:rsid w:val="007A48BC"/>
    <w:rsid w:val="007B1EC2"/>
    <w:rsid w:val="007B5355"/>
    <w:rsid w:val="007B6555"/>
    <w:rsid w:val="007F72D1"/>
    <w:rsid w:val="0082632E"/>
    <w:rsid w:val="008329D8"/>
    <w:rsid w:val="00856514"/>
    <w:rsid w:val="00860D25"/>
    <w:rsid w:val="00860EFC"/>
    <w:rsid w:val="00866C73"/>
    <w:rsid w:val="008737BF"/>
    <w:rsid w:val="008A7ABD"/>
    <w:rsid w:val="008E5BA6"/>
    <w:rsid w:val="008F362D"/>
    <w:rsid w:val="008F6152"/>
    <w:rsid w:val="009173E4"/>
    <w:rsid w:val="00922768"/>
    <w:rsid w:val="009443D8"/>
    <w:rsid w:val="00944BA8"/>
    <w:rsid w:val="00977409"/>
    <w:rsid w:val="00977721"/>
    <w:rsid w:val="0098059D"/>
    <w:rsid w:val="00994F5F"/>
    <w:rsid w:val="00996177"/>
    <w:rsid w:val="009D2972"/>
    <w:rsid w:val="009F3025"/>
    <w:rsid w:val="009F435F"/>
    <w:rsid w:val="009F508B"/>
    <w:rsid w:val="00A05E79"/>
    <w:rsid w:val="00A6729E"/>
    <w:rsid w:val="00A73FEE"/>
    <w:rsid w:val="00A77074"/>
    <w:rsid w:val="00A900AF"/>
    <w:rsid w:val="00AB7141"/>
    <w:rsid w:val="00AF37D2"/>
    <w:rsid w:val="00AF7A6A"/>
    <w:rsid w:val="00B336E7"/>
    <w:rsid w:val="00B64414"/>
    <w:rsid w:val="00B65D04"/>
    <w:rsid w:val="00B65FD9"/>
    <w:rsid w:val="00B80BFD"/>
    <w:rsid w:val="00BE0D3C"/>
    <w:rsid w:val="00BE32A9"/>
    <w:rsid w:val="00BF0211"/>
    <w:rsid w:val="00BF570A"/>
    <w:rsid w:val="00C234CE"/>
    <w:rsid w:val="00C41CB7"/>
    <w:rsid w:val="00C54E20"/>
    <w:rsid w:val="00C609E3"/>
    <w:rsid w:val="00C923A8"/>
    <w:rsid w:val="00CB460C"/>
    <w:rsid w:val="00CE183B"/>
    <w:rsid w:val="00CE4294"/>
    <w:rsid w:val="00D0023B"/>
    <w:rsid w:val="00D01CB9"/>
    <w:rsid w:val="00D40D8E"/>
    <w:rsid w:val="00D47BB3"/>
    <w:rsid w:val="00D533BB"/>
    <w:rsid w:val="00D568F6"/>
    <w:rsid w:val="00D57DD0"/>
    <w:rsid w:val="00D81C8D"/>
    <w:rsid w:val="00D84579"/>
    <w:rsid w:val="00D972D5"/>
    <w:rsid w:val="00DD55A1"/>
    <w:rsid w:val="00DE5756"/>
    <w:rsid w:val="00E039E4"/>
    <w:rsid w:val="00E47331"/>
    <w:rsid w:val="00E5348C"/>
    <w:rsid w:val="00E54545"/>
    <w:rsid w:val="00E720BE"/>
    <w:rsid w:val="00EC4742"/>
    <w:rsid w:val="00EF468D"/>
    <w:rsid w:val="00F0410C"/>
    <w:rsid w:val="00F056AD"/>
    <w:rsid w:val="00F7493F"/>
    <w:rsid w:val="00F74B63"/>
    <w:rsid w:val="00F84411"/>
    <w:rsid w:val="00FB1E96"/>
    <w:rsid w:val="00FE70C9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406C"/>
  <w15:chartTrackingRefBased/>
  <w15:docId w15:val="{2FFD8892-7CFC-4CC4-9DEF-BF32AADC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7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BD"/>
  </w:style>
  <w:style w:type="paragraph" w:styleId="Footer">
    <w:name w:val="footer"/>
    <w:basedOn w:val="Normal"/>
    <w:link w:val="FooterChar"/>
    <w:uiPriority w:val="99"/>
    <w:unhideWhenUsed/>
    <w:rsid w:val="008A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BD"/>
  </w:style>
  <w:style w:type="table" w:styleId="TableGrid">
    <w:name w:val="Table Grid"/>
    <w:basedOn w:val="TableNormal"/>
    <w:uiPriority w:val="39"/>
    <w:rsid w:val="008A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A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title-text">
    <w:name w:val="title-text"/>
    <w:basedOn w:val="DefaultParagraphFont"/>
    <w:rsid w:val="008A7ABD"/>
  </w:style>
  <w:style w:type="character" w:customStyle="1" w:styleId="anchor-text">
    <w:name w:val="anchor-text"/>
    <w:basedOn w:val="DefaultParagraphFont"/>
    <w:rsid w:val="008A7ABD"/>
  </w:style>
  <w:style w:type="character" w:styleId="Hyperlink">
    <w:name w:val="Hyperlink"/>
    <w:basedOn w:val="DefaultParagraphFont"/>
    <w:uiPriority w:val="99"/>
    <w:unhideWhenUsed/>
    <w:rsid w:val="008A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techfore.2024.123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Joss</dc:creator>
  <cp:keywords/>
  <dc:description/>
  <cp:lastModifiedBy>Simon Joss</cp:lastModifiedBy>
  <cp:revision>2</cp:revision>
  <dcterms:created xsi:type="dcterms:W3CDTF">2024-04-05T16:44:00Z</dcterms:created>
  <dcterms:modified xsi:type="dcterms:W3CDTF">2024-04-05T16:44:00Z</dcterms:modified>
</cp:coreProperties>
</file>