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ACF70" w14:textId="77777777" w:rsidR="00A146AB" w:rsidRPr="00A146AB" w:rsidRDefault="00A146AB" w:rsidP="00A146AB">
      <w:pPr>
        <w:pStyle w:val="Heading1"/>
        <w:jc w:val="center"/>
        <w:rPr>
          <w:rFonts w:ascii="Times New Roman" w:hAnsi="Times New Roman" w:cs="Times New Roman"/>
          <w:color w:val="000000" w:themeColor="text1"/>
          <w:sz w:val="40"/>
          <w:szCs w:val="40"/>
        </w:rPr>
      </w:pPr>
      <w:bookmarkStart w:id="0" w:name="_GoBack"/>
      <w:bookmarkEnd w:id="0"/>
      <w:r w:rsidRPr="00A146AB">
        <w:rPr>
          <w:rFonts w:ascii="Times New Roman" w:hAnsi="Times New Roman" w:cs="Times New Roman"/>
          <w:color w:val="000000" w:themeColor="text1"/>
          <w:sz w:val="40"/>
          <w:szCs w:val="40"/>
        </w:rPr>
        <w:t>Supplementary information</w:t>
      </w:r>
    </w:p>
    <w:p w14:paraId="7494D214" w14:textId="77777777" w:rsidR="00A146AB" w:rsidRPr="00A146AB" w:rsidRDefault="00A146AB" w:rsidP="00A146AB">
      <w:pPr>
        <w:rPr>
          <w:rFonts w:ascii="Times New Roman" w:hAnsi="Times New Roman"/>
          <w:lang w:val="en-US"/>
        </w:rPr>
      </w:pPr>
    </w:p>
    <w:p w14:paraId="0C4C33AB" w14:textId="44D0A316" w:rsidR="00A146AB" w:rsidRPr="00A146AB" w:rsidRDefault="00A146AB" w:rsidP="00A146AB">
      <w:pPr>
        <w:jc w:val="center"/>
        <w:rPr>
          <w:rFonts w:ascii="Times New Roman" w:hAnsi="Times New Roman"/>
          <w:color w:val="000000" w:themeColor="text1"/>
          <w:sz w:val="36"/>
          <w:szCs w:val="36"/>
          <w:lang w:val="en-US"/>
        </w:rPr>
      </w:pPr>
      <w:r w:rsidRPr="00A146AB">
        <w:rPr>
          <w:rFonts w:ascii="Times New Roman" w:hAnsi="Times New Roman"/>
          <w:color w:val="000000" w:themeColor="text1"/>
          <w:sz w:val="36"/>
          <w:szCs w:val="36"/>
          <w:lang w:val="en-US"/>
        </w:rPr>
        <w:t>An in-depth analysis of the evolution of the policy mix for the sustainable energy transition in China from 1981 to 2020</w:t>
      </w:r>
    </w:p>
    <w:p w14:paraId="3136CB49" w14:textId="77777777" w:rsidR="00A146AB" w:rsidRPr="00A146AB" w:rsidRDefault="00A146AB" w:rsidP="00A146AB">
      <w:pPr>
        <w:jc w:val="center"/>
        <w:rPr>
          <w:rFonts w:ascii="Times New Roman" w:hAnsi="Times New Roman"/>
          <w:color w:val="000000" w:themeColor="text1"/>
          <w:lang w:val="en-US"/>
        </w:rPr>
      </w:pPr>
    </w:p>
    <w:p w14:paraId="02812B20" w14:textId="5796047B" w:rsidR="00A146AB" w:rsidRPr="00A146AB" w:rsidRDefault="00A146AB" w:rsidP="00A146AB">
      <w:pPr>
        <w:jc w:val="center"/>
        <w:rPr>
          <w:rFonts w:ascii="Times New Roman" w:hAnsi="Times New Roman"/>
          <w:color w:val="000000" w:themeColor="text1"/>
          <w:lang w:val="en-US"/>
        </w:rPr>
      </w:pPr>
      <w:r w:rsidRPr="00A146AB">
        <w:rPr>
          <w:rFonts w:ascii="Times New Roman" w:hAnsi="Times New Roman"/>
          <w:color w:val="000000" w:themeColor="text1"/>
          <w:lang w:val="en-US"/>
        </w:rPr>
        <w:t>Lili Li and Araz Taeihagh</w:t>
      </w:r>
      <w:r w:rsidRPr="00A146AB">
        <w:rPr>
          <w:rStyle w:val="FootnoteReference"/>
          <w:rFonts w:ascii="Times New Roman" w:hAnsi="Times New Roman"/>
          <w:color w:val="000000" w:themeColor="text1"/>
          <w:lang w:val="en-US"/>
        </w:rPr>
        <w:footnoteReference w:id="1"/>
      </w:r>
    </w:p>
    <w:p w14:paraId="306012DD" w14:textId="77777777" w:rsidR="00A146AB" w:rsidRPr="00A146AB" w:rsidRDefault="00A146AB" w:rsidP="00A146AB">
      <w:pPr>
        <w:jc w:val="center"/>
        <w:rPr>
          <w:rFonts w:ascii="Times New Roman" w:hAnsi="Times New Roman"/>
          <w:color w:val="000000" w:themeColor="text1"/>
          <w:lang w:val="en-US"/>
        </w:rPr>
      </w:pPr>
      <w:r w:rsidRPr="00A146AB">
        <w:rPr>
          <w:rFonts w:ascii="Times New Roman" w:hAnsi="Times New Roman"/>
          <w:color w:val="000000" w:themeColor="text1"/>
          <w:lang w:val="en-US"/>
        </w:rPr>
        <w:t>Lee Kuan Yew School of Public Policy, National University of Singapore</w:t>
      </w:r>
    </w:p>
    <w:p w14:paraId="130D5BA3" w14:textId="77777777" w:rsidR="00A146AB" w:rsidRPr="00C05E4C" w:rsidRDefault="00A146AB" w:rsidP="00A146AB">
      <w:pPr>
        <w:jc w:val="center"/>
      </w:pPr>
    </w:p>
    <w:p w14:paraId="6B027A4D" w14:textId="77777777" w:rsidR="00A146AB" w:rsidRDefault="00A146AB" w:rsidP="0015094D">
      <w:pPr>
        <w:pStyle w:val="Heading1"/>
        <w:spacing w:after="240"/>
        <w:rPr>
          <w:rFonts w:ascii="Times New Roman" w:hAnsi="Times New Roman" w:cs="Times New Roman"/>
          <w:color w:val="000000" w:themeColor="text1"/>
        </w:rPr>
      </w:pPr>
    </w:p>
    <w:p w14:paraId="4C34346C" w14:textId="4E31E3F1" w:rsidR="005C4A04" w:rsidRPr="00D523C8" w:rsidRDefault="006E39E2" w:rsidP="0015094D">
      <w:pPr>
        <w:pStyle w:val="Heading1"/>
        <w:spacing w:after="240"/>
        <w:rPr>
          <w:rFonts w:ascii="Times New Roman" w:hAnsi="Times New Roman" w:cs="Times New Roman"/>
          <w:color w:val="000000" w:themeColor="text1"/>
        </w:rPr>
      </w:pPr>
      <w:r w:rsidRPr="00D523C8">
        <w:rPr>
          <w:rFonts w:ascii="Times New Roman" w:hAnsi="Times New Roman" w:cs="Times New Roman"/>
          <w:color w:val="000000" w:themeColor="text1"/>
        </w:rPr>
        <w:t xml:space="preserve">Appendix </w:t>
      </w:r>
      <w:r w:rsidR="00CC3536" w:rsidRPr="00D523C8">
        <w:rPr>
          <w:rFonts w:ascii="Times New Roman" w:hAnsi="Times New Roman" w:cs="Times New Roman"/>
          <w:color w:val="000000" w:themeColor="text1"/>
        </w:rPr>
        <w:t>A1</w:t>
      </w:r>
      <w:r w:rsidR="00BB3C5E">
        <w:rPr>
          <w:rFonts w:ascii="Times New Roman" w:hAnsi="Times New Roman" w:cs="Times New Roman"/>
          <w:color w:val="000000" w:themeColor="text1"/>
        </w:rPr>
        <w:t>–</w:t>
      </w:r>
      <w:r w:rsidR="00CC3536" w:rsidRPr="00D523C8">
        <w:rPr>
          <w:rFonts w:ascii="Times New Roman" w:hAnsi="Times New Roman" w:cs="Times New Roman"/>
          <w:color w:val="000000" w:themeColor="text1"/>
        </w:rPr>
        <w:t xml:space="preserve">A5 </w:t>
      </w:r>
      <w:r w:rsidRPr="00D523C8">
        <w:rPr>
          <w:rFonts w:ascii="Times New Roman" w:hAnsi="Times New Roman" w:cs="Times New Roman"/>
          <w:color w:val="000000" w:themeColor="text1"/>
        </w:rPr>
        <w:t>text</w:t>
      </w:r>
    </w:p>
    <w:p w14:paraId="364F8DCA" w14:textId="139617BE" w:rsidR="00FA5F67" w:rsidRPr="00D523C8" w:rsidRDefault="00093049" w:rsidP="003B745A">
      <w:pPr>
        <w:pStyle w:val="Heading1"/>
        <w:spacing w:after="240"/>
        <w:rPr>
          <w:rFonts w:ascii="Times New Roman" w:hAnsi="Times New Roman" w:cs="Times New Roman"/>
          <w:color w:val="000000" w:themeColor="text1"/>
        </w:rPr>
      </w:pPr>
      <w:r w:rsidRPr="00D523C8">
        <w:rPr>
          <w:rFonts w:ascii="Times New Roman" w:hAnsi="Times New Roman" w:cs="Times New Roman"/>
          <w:color w:val="000000" w:themeColor="text1"/>
        </w:rPr>
        <w:t>A</w:t>
      </w:r>
      <w:r w:rsidR="00260D37" w:rsidRPr="00D523C8">
        <w:rPr>
          <w:rFonts w:ascii="Times New Roman" w:hAnsi="Times New Roman" w:cs="Times New Roman"/>
          <w:color w:val="000000" w:themeColor="text1"/>
        </w:rPr>
        <w:t xml:space="preserve">1 </w:t>
      </w:r>
      <w:r w:rsidR="005407E0" w:rsidRPr="00D523C8">
        <w:rPr>
          <w:rFonts w:ascii="Times New Roman" w:hAnsi="Times New Roman" w:cs="Times New Roman"/>
          <w:color w:val="000000" w:themeColor="text1"/>
        </w:rPr>
        <w:t>T</w:t>
      </w:r>
      <w:r w:rsidR="00E82090" w:rsidRPr="00D523C8">
        <w:rPr>
          <w:rFonts w:ascii="Times New Roman" w:hAnsi="Times New Roman" w:cs="Times New Roman"/>
          <w:color w:val="000000" w:themeColor="text1"/>
        </w:rPr>
        <w:t xml:space="preserve">erms used </w:t>
      </w:r>
      <w:r w:rsidR="00CC3536" w:rsidRPr="00D523C8">
        <w:rPr>
          <w:rFonts w:ascii="Times New Roman" w:hAnsi="Times New Roman" w:cs="Times New Roman"/>
          <w:color w:val="000000" w:themeColor="text1"/>
        </w:rPr>
        <w:t>interchangeably</w:t>
      </w:r>
      <w:r w:rsidR="00E82090" w:rsidRPr="00D523C8">
        <w:rPr>
          <w:rFonts w:ascii="Times New Roman" w:hAnsi="Times New Roman" w:cs="Times New Roman"/>
          <w:color w:val="000000" w:themeColor="text1"/>
        </w:rPr>
        <w:t xml:space="preserve"> with “policy mix”</w:t>
      </w:r>
      <w:r w:rsidR="005407E0" w:rsidRPr="00D523C8">
        <w:rPr>
          <w:rFonts w:ascii="Times New Roman" w:hAnsi="Times New Roman" w:cs="Times New Roman"/>
          <w:color w:val="000000" w:themeColor="text1"/>
        </w:rPr>
        <w:t xml:space="preserve"> in the literature</w:t>
      </w:r>
    </w:p>
    <w:p w14:paraId="4C4F9661" w14:textId="14461825" w:rsidR="0038463C" w:rsidRPr="00D523C8" w:rsidRDefault="0038463C" w:rsidP="00096776">
      <w:pPr>
        <w:spacing w:line="360" w:lineRule="auto"/>
        <w:jc w:val="both"/>
        <w:rPr>
          <w:rFonts w:ascii="Times New Roman" w:hAnsi="Times New Roman"/>
          <w:color w:val="000000" w:themeColor="text1"/>
          <w:lang w:val="en-US"/>
        </w:rPr>
      </w:pPr>
      <w:r w:rsidRPr="00D523C8">
        <w:rPr>
          <w:rFonts w:ascii="Times New Roman" w:hAnsi="Times New Roman"/>
          <w:color w:val="000000" w:themeColor="text1"/>
          <w:lang w:val="en-US" w:bidi="ar-SA"/>
        </w:rPr>
        <w:t>In</w:t>
      </w:r>
      <w:r w:rsidRPr="00D523C8">
        <w:rPr>
          <w:rFonts w:ascii="Times New Roman" w:hAnsi="Times New Roman"/>
          <w:color w:val="000000" w:themeColor="text1"/>
          <w:lang w:val="en-US"/>
        </w:rPr>
        <w:t xml:space="preserve"> the literature, </w:t>
      </w:r>
      <w:r w:rsidR="00BB3C5E">
        <w:rPr>
          <w:rFonts w:ascii="Times New Roman" w:hAnsi="Times New Roman"/>
          <w:color w:val="000000" w:themeColor="text1"/>
          <w:lang w:val="en-US"/>
        </w:rPr>
        <w:t xml:space="preserve">terms used </w:t>
      </w:r>
      <w:r w:rsidRPr="00D523C8">
        <w:rPr>
          <w:rFonts w:ascii="Times New Roman" w:hAnsi="Times New Roman"/>
          <w:color w:val="000000" w:themeColor="text1"/>
          <w:lang w:val="en-US"/>
        </w:rPr>
        <w:t>interchangeabl</w:t>
      </w:r>
      <w:r w:rsidR="00BB3C5E">
        <w:rPr>
          <w:rFonts w:ascii="Times New Roman" w:hAnsi="Times New Roman"/>
          <w:color w:val="000000" w:themeColor="text1"/>
          <w:lang w:val="en-US"/>
        </w:rPr>
        <w:t>y</w:t>
      </w:r>
      <w:r w:rsidRPr="00D523C8">
        <w:rPr>
          <w:rFonts w:ascii="Times New Roman" w:hAnsi="Times New Roman"/>
          <w:color w:val="000000" w:themeColor="text1"/>
          <w:lang w:val="en-US"/>
        </w:rPr>
        <w:t xml:space="preserve"> with </w:t>
      </w:r>
      <w:r w:rsidR="00BB3C5E">
        <w:rPr>
          <w:rFonts w:ascii="Times New Roman" w:hAnsi="Times New Roman"/>
          <w:color w:val="000000" w:themeColor="text1"/>
          <w:lang w:val="en-US"/>
        </w:rPr>
        <w:t>“</w:t>
      </w:r>
      <w:r w:rsidRPr="00D523C8">
        <w:rPr>
          <w:rFonts w:ascii="Times New Roman" w:hAnsi="Times New Roman"/>
          <w:color w:val="000000" w:themeColor="text1"/>
          <w:lang w:val="en-US"/>
        </w:rPr>
        <w:t>policy mix</w:t>
      </w:r>
      <w:r w:rsidR="00BB3C5E">
        <w:rPr>
          <w:rFonts w:ascii="Times New Roman" w:hAnsi="Times New Roman"/>
          <w:color w:val="000000" w:themeColor="text1"/>
          <w:lang w:val="en-US"/>
        </w:rPr>
        <w:t>”</w:t>
      </w:r>
      <w:r w:rsidRPr="00D523C8">
        <w:rPr>
          <w:rFonts w:ascii="Times New Roman" w:hAnsi="Times New Roman"/>
          <w:color w:val="000000" w:themeColor="text1"/>
          <w:lang w:val="en-US"/>
        </w:rPr>
        <w:t xml:space="preserve"> include “policy package(s)” </w:t>
      </w:r>
      <w:r w:rsidRPr="00D523C8">
        <w:rPr>
          <w:rFonts w:ascii="Times New Roman" w:hAnsi="Times New Roman"/>
          <w:color w:val="000000" w:themeColor="text1"/>
          <w:lang w:val="en-US"/>
        </w:rPr>
        <w:fldChar w:fldCharType="begin" w:fldLock="1"/>
      </w:r>
      <w:r w:rsidR="004A4F46" w:rsidRPr="00D523C8">
        <w:rPr>
          <w:rFonts w:ascii="Times New Roman" w:hAnsi="Times New Roman"/>
          <w:color w:val="000000" w:themeColor="text1"/>
          <w:lang w:val="en-US"/>
        </w:rPr>
        <w:instrText>ADDIN CSL_CITATION {"citationItems":[{"id":"ITEM-1","itemData":{"DOI":"10.1016/j.tra.2013.10.012","abstract":"Policy packaging is not a new concept and hardly anyone would dispute the merit of strategically considering and deploying several policy measures in combination to address transport policy issues. Yet the concept of policy packaging remains largely vague, and how to 'package' policies is not really considered or suggested. Policy packaging in most cases remains just a term. The Optimal Policies for Transport in Combination (OPTIC) project aimed to start advancing state-of-the-art in the design of policy packages. The project objective was to turn policy packaging into a well-established approach to policy making, with solid theoretical and methodological foundations that can also be practically applied in the field. This editorial to the special issue on Policy Packaging serves to first define and explain the main principles of policy packaging and the goals it strives to achieve: increasing effectiveness, implementability and thus efficiency. It then describes the main contribution of each of the papers in the special issue to research and practice of policy packaging and it outlines some avenues for further research. The paper concludes by setting a few criteria to distinguish a policy package from a 'list' of policies and by arguing that only through case studies and application in practice that state-of-the-art policy packaging can be really advanced. © 2013 Elsevier Ltd.","author":[{"dropping-particle":"","family":"Givoni","given":"Moshe","non-dropping-particle":"","parse-names":false,"suffix":""}],"container-title":"Transportation Research Part A: Policy and Practice","id":"ITEM-1","issued":{"date-parts":[["2014"]]},"note":"Cited By :24\n\nExport Date: 18 November 2018","page":"1-8","publisher-place":"Transport Research Unit, Department of Geography and the Human Environment, Tel-Aviv University, Israel","title":"Addressing transport policy challenges through policy-packaging","type":"article-journal","volume":"60"},"uris":["http://www.mendeley.com/documents/?uuid=6a71ba66-6301-4b37-b036-bf1b68fad743"]},{"id":"ITEM-2","itemData":{"DOI":"10.1016/j.compchemeng.2009.01.010","ISBN":"0098-1354","ISSN":"00981354","abstract":"The formulation of policies requires the selection and configuration of effective and acceptable courses of action to reach explicit goals. A one-size-fits-all policy is unlikely to achieve the desired goals; as a result, the identification of a suite of alternative policies, together with clear indications of their trade-offs, is crucial to accommodate the diversity of stakeholders' preferences. At present, the formulation of transport policies is done manually; this fact, together with the size of the space of possible policies, results in a large part of that space being left unexplored. A six-step framework to explore the space of alternative transport policies in order to achieve environmental targets is proposed. The process starts with a user-defined set of specific policy measures, using them as building blocks in the generation of alternative policy packages, clusters and future images according to the user's preferences and goals. The analysis framework is based on the visioning and backcasting approach used in the VIBAT report [Banister, D., &amp; Hickman, R. (2006a). Visioning and backcasting for UK transport policy (VIBAT) project. Department for Transport's Horizons Research Programme 2004/06. The Bartlett school of planning and Halcrow Group Ltd. Retrieved 1/18/2008 http://www.ucl.ac.uk/</w:instrText>
      </w:r>
      <w:r w:rsidR="004A4F46" w:rsidRPr="00D523C8">
        <w:rPr>
          <w:rFonts w:ascii="Cambria Math" w:hAnsi="Cambria Math" w:cs="Cambria Math"/>
          <w:color w:val="000000" w:themeColor="text1"/>
          <w:lang w:val="en-US"/>
        </w:rPr>
        <w:instrText>∼</w:instrText>
      </w:r>
      <w:r w:rsidR="004A4F46" w:rsidRPr="00D523C8">
        <w:rPr>
          <w:rFonts w:ascii="Times New Roman" w:hAnsi="Times New Roman"/>
          <w:color w:val="000000" w:themeColor="text1"/>
          <w:lang w:val="en-US"/>
        </w:rPr>
        <w:instrText>ucft696/vibat2.html]. The framework is being implemented as a prototype decision support system around a case study: the formulation and analysis of policies required to achieve CO2emission targets for the transport sector in the UK. Important insights on how to develop the framework have also been elicited from engineering design. The goal is to accelerate the task of policy-making and improve the effectiveness of the resulting policies. The proposed method and computer implementation is fundamentally different from the tools commonly used in the transport sector and is intended to assist (not replace) transport policy makers, and complement (not substitute nor compete with) existing mathematical modelling tools. This research constitutes the first step towards the development of a general family of computer-based systems that support the design of policies to achieve environmental targets-not only for transport, but also for other sectors such as energy and water. Crown Copyright © 2009.","author":[{"dropping-particle":"","family":"Taeihagh","given":"Araz","non-dropping-particle":"","parse-names":false,"suffix":""},{"dropping-particle":"","family":"Bañares-Alcántara","given":"René","non-dropping-particle":"","parse-names":false,"suffix":""},{"dropping-particle":"","family":"Millican","given":"Claire","non-dropping-particle":"","parse-names":false,"suffix":""}],"container-title":"Computers and Chemical Engineering","id":"ITEM-2","issued":{"date-parts":[["2009"]]},"page":"1531-1545","title":"Development of a novel framework for the design of transport policies to achieve environmental targets","type":"article-journal","volume":"33"},"uris":["http://www.mendeley.com/documents/?uuid=d6dbef56-d3e8-4a78-8700-23b5c8023350"]},{"id":"ITEM-3","itemData":{"DOI":"10.1068/b38058","ISBN":"0265-8135","ISSN":"14723417","abstract":"In addressing various policy problems, deciding which policy measure to start with given the range of measures available is challenging and essentially involves a process of ranking the alternatives, commonly done using multicriteria decision analysis (MCDA) techniques. In this paper a new methodology for analysis and ranking of policy measures is introduced which combines network analysis and MCDA tools. This methodology not only considers the internal properties of the measures but also their interactions with other potential measures. Consideration of such interactions provides additional insights into the process of policy formulation and can help domain experts and policy makers to better assess the policy measures and to understand the complexities involved. This new methodology is applied in this paper to the formulation of a policy to increase walking and cycling.","author":[{"dropping-particle":"","family":"Taeihagh","given":"Araz","non-dropping-particle":"","parse-names":false,"suffix":""},{"dropping-particle":"","family":"Givoni","given":"Moshe","non-dropping-particle":"","parse-names":false,"suffix":""},{"dropping-particle":"","family":"Bañares-Alcántara","given":"René","non-dropping-particle":"","parse-names":false,"suffix":""}],"container-title":"Environment and Planning B: Planning and Design","id":"ITEM-3","issue":"4","issued":{"date-parts":[["2013"]]},"page":"595-616","title":"Which policy first? A network-centric approach for the analysis and ranking of policy measures","type":"article-journal","volume":"40"},"uris":["http://www.mendeley.com/documents/?uuid=d07290c0-bc3c-45ab-a5de-5871b552056c"]},{"id":"ITEM-4","itemData":{"DOI":"10.1080/01441647.2012.744779","ISBN":"0144-1647\\r1464-5327","ISSN":"0144-1647","abstract":"It is increasingly evident that harnessing the potential synergetic relationships that exist between certain policy measures can significantly increase the effectiveness and efficiency of policy interventions. However, while normative sentiments of “integrated policy” and “joined-up government” are well-established, minimal academic attention has, thus far, been paid to considerations of how such relationships might be strategically advanced in promoting effective policy interventions. Framed in relation to transport policy, this paper, thus, tentatively proposes a heuristic framework that seeks to engage with the major conceptual and procedural concerns involved in bona fide “policy packaging”. Wary of naive prescription, the framework is not intended to function as a universal blueprint for policy-making. Rather, we aim to critically examine a number of salient principles that appear to have generic policy relevance across institutional contexts and jurisdictional scales. Fundamentally, the paper argues that while policy packaging can certainly support effective and efficient policy-making—not least through enhancing interventions’ implementation and the ex ante mitigation of unintended effects—the packaging process requires a deep and holistic appreciation of policy subsystems, together with a structured approach, if its benefits are to be genuinely realized.","author":[{"dropping-particle":"","family":"Givoni","given":"Moshe","non-dropping-particle":"","parse-names":false,"suffix":""},{"dropping-particle":"","family":"Macmillen","given":"James","non-dropping-particle":"","parse-names":false,"suffix":""},{"dropping-particle":"","family":"Banister","given":"David","non-dropping-particle":"","parse-names":false,"suffix":""},{"dropping-particle":"","family":"Feitelson","given":"Eran","non-dropping-particle":"","parse-names":false,"suffix":""}],"container-title":"Transport Reviews","id":"ITEM-4","issue":"1","issued":{"date-parts":[["2013"]]},"page":"1-20","title":"From policy measures to policy packages","type":"article-journal","volume":"33"},"uris":["http://www.mendeley.com/documents/?uuid=87844996-92da-4897-83ef-221a7dec7548"]},{"id":"ITEM-5","itemData":{"author":[{"dropping-particle":"","family":"Anonymous","given":"","non-dropping-particle":"","parse-names":false,"suffix":""}],"id":"ITEM-5","issued":{"date-parts":[["2014"]]},"title":"Details omitted for double-blind reviewing","type":"article-journal"},"uris":["http://www.mendeley.com/documents/?uuid=e5fb9f02-01ad-40eb-80a5-940faf50d9e0"]},{"id":"ITEM-6","itemData":{"author":[{"dropping-particle":"","family":"Anonymous","given":"","non-dropping-particle":"","parse-names":false,"suffix":""}],"id":"ITEM-6","issued":{"date-parts":[["2017"]]},"title":"Details omitted for double-blind reviewing","type":"article-journal"},"uris":["http://www.mendeley.com/documents/?uuid=53af980f-83bb-4825-b1cc-e1d7778a0acc"]},{"id":"ITEM-7","itemData":{"DOI":"10.1016/j.tra.2013.10.013","ISBN":"0965-8564","ISSN":"09658564","abstract":"In the transport policy domain, as in other highly-contested spheres of public policy, it is commonplace for certain policy measures to emerge as promising only to then remain unimplemented. Road pricing is one example of a theoretically well-developed transport policy measure that has proven notoriously difficult to decide and implement. There are however lessons to learn from practice on how to manage barriers to policy formation and implementation also within this field. Drawing on the congestion charging schemes implemented in London in 2003 and Stockholm in 2006, and the Swiss Heavy Vehicle Fee scheme implemented in 2001, this paper identifies a selection of strategies which appear to have supported the policymakers' capacity to implement effective road pricing schemes. Together, these three examples offer a sound empirical basis from which to infer a set of strategies for the formulation and implementation of politically-contentious road pricing packages-addressing issues of measure combination, flexibility, legitimacy, communication, timing and organisational dynamics. While acknowledging the primacy of broader external and contextual issues, the conclusion is that taking inspiration from the strategies identified in this paper may increase the likelihood of successful policy package processes. © 2013 Elsevier Ltd.","author":[{"dropping-particle":"","family":"Sørensen","given":"Claus Hedegaard","non-dropping-particle":"","parse-names":false,"suffix":""},{"dropping-particle":"","family":"Isaksson","given":"Karolina","non-dropping-particle":"","parse-names":false,"suffix":""},{"dropping-particle":"","family":"Macmillen","given":"James","non-dropping-particle":"","parse-names":false,"suffix":""},{"dropping-particle":"","family":"Åkerman","given":"Jonas","non-dropping-particle":"","parse-names":false,"suffix":""},{"dropping-particle":"","family":"Kressler","given":"Florian","non-dropping-particle":"","parse-names":false,"suffix":""}],"container-title":"Transportation Research Part A: Policy and Practice","id":"ITEM-7","issued":{"date-parts":[["2014"]]},"page":"40-52","title":"Strategies to manage barriers in policy formation and implementation of road pricing packages","type":"article-journal","volume":"60"},"uris":["http://www.mendeley.com/documents/?uuid=4c2432d4-1187-48e7-b287-a4248448a4dc"]}],"mendeley":{"formattedCitation":"[1–7]","plainTextFormattedCitation":"[1–7]","previouslyFormattedCitation":"[1–7]"},"properties":{"noteIndex":0},"schema":"https://github.com/citation-style-language/schema/raw/master/csl-citation.json"}</w:instrText>
      </w:r>
      <w:r w:rsidRPr="00D523C8">
        <w:rPr>
          <w:rFonts w:ascii="Times New Roman" w:hAnsi="Times New Roman"/>
          <w:color w:val="000000" w:themeColor="text1"/>
          <w:lang w:val="en-US"/>
        </w:rPr>
        <w:fldChar w:fldCharType="separate"/>
      </w:r>
      <w:r w:rsidR="00C44DD2" w:rsidRPr="00D523C8">
        <w:rPr>
          <w:rFonts w:ascii="Times New Roman" w:hAnsi="Times New Roman"/>
          <w:noProof/>
          <w:color w:val="000000" w:themeColor="text1"/>
          <w:lang w:val="en-US"/>
        </w:rPr>
        <w:t>[1–7]</w:t>
      </w:r>
      <w:r w:rsidRPr="00D523C8">
        <w:rPr>
          <w:rFonts w:ascii="Times New Roman" w:hAnsi="Times New Roman"/>
          <w:color w:val="000000" w:themeColor="text1"/>
          <w:lang w:val="en-US"/>
        </w:rPr>
        <w:fldChar w:fldCharType="end"/>
      </w:r>
      <w:r w:rsidRPr="00D523C8">
        <w:rPr>
          <w:rFonts w:ascii="Times New Roman" w:hAnsi="Times New Roman"/>
          <w:color w:val="000000" w:themeColor="text1"/>
          <w:lang w:val="en-US"/>
        </w:rPr>
        <w:t xml:space="preserve">, “policy bundling” </w:t>
      </w:r>
      <w:r w:rsidRPr="00D523C8">
        <w:rPr>
          <w:rFonts w:ascii="Times New Roman" w:hAnsi="Times New Roman"/>
          <w:color w:val="000000" w:themeColor="text1"/>
          <w:lang w:val="en-US"/>
        </w:rPr>
        <w:fldChar w:fldCharType="begin" w:fldLock="1"/>
      </w:r>
      <w:r w:rsidR="004A4F46" w:rsidRPr="00D523C8">
        <w:rPr>
          <w:rFonts w:ascii="Times New Roman" w:hAnsi="Times New Roman"/>
          <w:color w:val="000000" w:themeColor="text1"/>
          <w:lang w:val="en-US"/>
        </w:rPr>
        <w:instrText>ADDIN CSL_CITATION {"citationItems":[{"id":"ITEM-1","itemData":{"DOI":"10.1016/j.obhdp.2011.07.001","ISBN":"0749-5978, 0749-5978","ISSN":"07495978","abstract":"Policies that would create net benefits for society that contain salient costs frequently lack enough support for enactment because losses loom larger than gains. To address this consequence of loss aversion, we propose a policy-bundling technique in which related bills involving both losses and gains are combined to offset separate bills' costs while preserving their net benefits. We argue this method can transform unpopular individual pieces of legislation, which would lack the support for implementation, into more popular policies. Study 1 confirms that bundling increases support for bills with costs and benefits and that bundled legislation is valued more than the sum of its parts. Study 2 shows this finding stems from a diminished focus on losses and heightened focus on gains. Study 3 extends our findings to policies involving costs and benefits of the same type (e.g., lives) generated by different sources (e.g., food vs. fire safety). ?? 2011 Elsevier Inc.","author":[{"dropping-particle":"","family":"Milkman","given":"Katherine L.","non-dropping-particle":"","parse-names":false,"suffix":""},{"dropping-particle":"","family":"Mazza","given":"Mary Carol","non-dropping-particle":"","parse-names":false,"suffix":""},{"dropping-particle":"","family":"Shu","given":"Lisa L.","non-dropping-particle":"","parse-names":false,"suffix":""},{"dropping-particle":"","family":"Tsay","given":"Chia Jung","non-dropping-particle":"","parse-names":false,"suffix":""},{"dropping-particle":"","family":"Bazerman","given":"Max H.","non-dropping-particle":"","parse-names":false,"suffix":""}],"container-title":"Organizational Behavior and Human Decision Processes","id":"ITEM-1","issue":"1","issued":{"date-parts":[["2012"]]},"page":"158-167","publisher":"Elsevier Inc.","title":"Policy bundling to overcome loss aversion: A method for improving legislative outcomes","type":"article-journal","volume":"117"},"uris":["http://www.mendeley.com/documents/?uuid=efe4259f-faf0-4838-9dcd-f3bbca6e8542"]}],"mendeley":{"formattedCitation":"[8]","plainTextFormattedCitation":"[8]","previouslyFormattedCitation":"[8]"},"properties":{"noteIndex":0},"schema":"https://github.com/citation-style-language/schema/raw/master/csl-citation.json"}</w:instrText>
      </w:r>
      <w:r w:rsidRPr="00D523C8">
        <w:rPr>
          <w:rFonts w:ascii="Times New Roman" w:hAnsi="Times New Roman"/>
          <w:color w:val="000000" w:themeColor="text1"/>
          <w:lang w:val="en-US"/>
        </w:rPr>
        <w:fldChar w:fldCharType="separate"/>
      </w:r>
      <w:r w:rsidR="00C44DD2" w:rsidRPr="00D523C8">
        <w:rPr>
          <w:rFonts w:ascii="Times New Roman" w:hAnsi="Times New Roman"/>
          <w:noProof/>
          <w:color w:val="000000" w:themeColor="text1"/>
          <w:lang w:val="en-US"/>
        </w:rPr>
        <w:t>[8]</w:t>
      </w:r>
      <w:r w:rsidRPr="00D523C8">
        <w:rPr>
          <w:rFonts w:ascii="Times New Roman" w:hAnsi="Times New Roman"/>
          <w:color w:val="000000" w:themeColor="text1"/>
          <w:lang w:val="en-US"/>
        </w:rPr>
        <w:fldChar w:fldCharType="end"/>
      </w:r>
      <w:r w:rsidRPr="00D523C8">
        <w:rPr>
          <w:rFonts w:ascii="Times New Roman" w:hAnsi="Times New Roman"/>
          <w:color w:val="000000" w:themeColor="text1"/>
          <w:lang w:val="en-US"/>
        </w:rPr>
        <w:t xml:space="preserve"> and “policy portfolio(s)” </w:t>
      </w:r>
      <w:r w:rsidRPr="00D523C8">
        <w:rPr>
          <w:rFonts w:ascii="Times New Roman" w:hAnsi="Times New Roman"/>
          <w:color w:val="000000" w:themeColor="text1"/>
          <w:lang w:val="en-US"/>
        </w:rPr>
        <w:fldChar w:fldCharType="begin" w:fldLock="1"/>
      </w:r>
      <w:r w:rsidR="004A4F46" w:rsidRPr="00D523C8">
        <w:rPr>
          <w:rFonts w:ascii="Times New Roman" w:hAnsi="Times New Roman"/>
          <w:color w:val="000000" w:themeColor="text1"/>
          <w:lang w:val="en-US"/>
        </w:rPr>
        <w:instrText>ADDIN CSL_CITATION {"citationItems":[{"id":"ITEM-1","itemData":{"DOI":"10.1177/0263774X15610059","abstract":"Abstract. Policies increasingly come in complex packages and understanding the nature of design criteria for such portfolios is increasingly important. However, existing studies of policy mixes fail to carefully define the dependent variable of the inquiry. As a result, theorization of policy design has lagged, the cumulative impact of empirical studies has not been great and understanding of the phenomena, despite many observations of its significance in policy studies, has not improved significantly over the past three decades. This paper aims to revitalize this important aspect of policy design work and policy studies by distinguishing between mix types and their impact on policy formulation. It defines key types and subtypes of mixes based on the complexity of design variables such as the number of goals, the number of policies and the number of levels of government and sector involved in the design of a policy bundle. The taxonomy is then used to assess the validity and applicability of oft-cited but under-examined portfolio design principles and precepts.","author":[{"dropping-particle":"","family":"Howlett","given":"Michael","non-dropping-particle":"","parse-names":false,"suffix":""},{"dropping-particle":"","family":"How","given":"Yong Pung","non-dropping-particle":"","parse-names":false,"suffix":""},{"dropping-particle":"","family":"Río","given":"Pablo","non-dropping-particle":"del","parse-names":false,"suffix":""}],"container-title":"Environment and Planning C: Government and Policy","id":"ITEM-1","issue":"5","issued":{"date-parts":[["2015"]]},"note":"From Duplicate 1 (The parameters of policy portfolios: verticality and horizontality in design spaces and their consequences for policy mix formulation - Howlett, M; How, Y P; del Rio, P)\n\nCited By :19\n\nExport Date: 18 November 2018","page":"1233-1245","publisher-place":"Burnaby Mountain Chair, Department of Political Science, Simon Fraser University, Burnaby, BC, Canada","title":"The parameters of policy portfolios: Verticality and horizontality in design spaces and their consequences for policy mix formulation","type":"article-journal","volume":"33"},"uris":["http://www.mendeley.com/documents/?uuid=f3fb7167-c477-4bd7-8b8d-6f50f96b1f9d"]},{"id":"ITEM-2","itemData":{"DOI":"10.1016/S1462-9011(03)00036-4","abstract":"Although arguments about biodiversity policy frequently frame the options as either top-down regulation or voluntary incentive-based approaches, in fact a broad spectrum of biodiversity conservation strategies are available. Drawing largely on examples from the United States to support broader conclusions, this article examines the range of policy options and the metrics that should be used to evaluate them. Because the options have different strengths and weaknesses, are suited to different contexts, and all carry substantial risk of failure, a portfolio of biodiversity policies is likely to outperform exclusive reliance on any one strategy. Designing an effective biodiversity policy portfolio requires clarifying conservation goals, systematically evaluating existing programs, being sensitive to the context, closely monitoring policy implementation and results, and revising the portfolio as new information becomes available. © 2003 Elsevier Science Ltd. All rights reserved.","author":[{"dropping-particle":"","family":"Doremus","given":"H","non-dropping-particle":"","parse-names":false,"suffix":""}],"container-title":"Environmental Science and Policy","id":"ITEM-2","issue":"3","issued":{"date-parts":[["2003"]]},"note":"Cited By :115\n\nExport Date: 19 November 2018","page":"217-232","publisher-place":"School of Law, University of California at Davis, 400 Mrak Hall Dr., Davis, CA, United States","title":"A policy portfolio approach to biodiversity protection on private lands","type":"article-journal","volume":"6"},"uris":["http://www.mendeley.com/documents/?uuid=1d6988a1-91bd-46db-a327-62729afbe1f8"]}],"mendeley":{"formattedCitation":"[9,10]","plainTextFormattedCitation":"[9,10]","previouslyFormattedCitation":"[9,10]"},"properties":{"noteIndex":0},"schema":"https://github.com/citation-style-language/schema/raw/master/csl-citation.json"}</w:instrText>
      </w:r>
      <w:r w:rsidRPr="00D523C8">
        <w:rPr>
          <w:rFonts w:ascii="Times New Roman" w:hAnsi="Times New Roman"/>
          <w:color w:val="000000" w:themeColor="text1"/>
          <w:lang w:val="en-US"/>
        </w:rPr>
        <w:fldChar w:fldCharType="separate"/>
      </w:r>
      <w:r w:rsidR="00C44DD2" w:rsidRPr="00D523C8">
        <w:rPr>
          <w:rFonts w:ascii="Times New Roman" w:hAnsi="Times New Roman"/>
          <w:noProof/>
          <w:color w:val="000000" w:themeColor="text1"/>
          <w:lang w:val="en-US"/>
        </w:rPr>
        <w:t>[9,10]</w:t>
      </w:r>
      <w:r w:rsidRPr="00D523C8">
        <w:rPr>
          <w:rFonts w:ascii="Times New Roman" w:hAnsi="Times New Roman"/>
          <w:color w:val="000000" w:themeColor="text1"/>
          <w:lang w:val="en-US"/>
        </w:rPr>
        <w:fldChar w:fldCharType="end"/>
      </w:r>
      <w:r w:rsidRPr="00D523C8">
        <w:rPr>
          <w:rFonts w:ascii="Times New Roman" w:hAnsi="Times New Roman"/>
          <w:color w:val="000000" w:themeColor="text1"/>
          <w:lang w:val="en-US"/>
        </w:rPr>
        <w:t xml:space="preserve">. The relevant literature has been growing in recent years. A bibliography search </w:t>
      </w:r>
      <w:r w:rsidR="00F03D07">
        <w:rPr>
          <w:rFonts w:ascii="Times New Roman" w:hAnsi="Times New Roman"/>
          <w:color w:val="000000" w:themeColor="text1"/>
          <w:lang w:val="en-US"/>
        </w:rPr>
        <w:t>using</w:t>
      </w:r>
      <w:r w:rsidRPr="00D523C8">
        <w:rPr>
          <w:rFonts w:ascii="Times New Roman" w:hAnsi="Times New Roman"/>
          <w:color w:val="000000" w:themeColor="text1"/>
          <w:lang w:val="en-US"/>
        </w:rPr>
        <w:t xml:space="preserve"> the </w:t>
      </w:r>
      <w:r w:rsidRPr="00D523C8">
        <w:rPr>
          <w:rFonts w:ascii="Times New Roman" w:hAnsi="Times New Roman"/>
          <w:i/>
          <w:color w:val="000000" w:themeColor="text1"/>
          <w:lang w:val="en-US"/>
        </w:rPr>
        <w:t>Scopus</w:t>
      </w:r>
      <w:r w:rsidRPr="00D523C8">
        <w:rPr>
          <w:rFonts w:ascii="Times New Roman" w:hAnsi="Times New Roman"/>
          <w:color w:val="000000" w:themeColor="text1"/>
          <w:lang w:val="en-US"/>
        </w:rPr>
        <w:t xml:space="preserve"> database show</w:t>
      </w:r>
      <w:r w:rsidR="00F03D07">
        <w:rPr>
          <w:rFonts w:ascii="Times New Roman" w:hAnsi="Times New Roman"/>
          <w:color w:val="000000" w:themeColor="text1"/>
          <w:lang w:val="en-US"/>
        </w:rPr>
        <w:t>s</w:t>
      </w:r>
      <w:r w:rsidRPr="00D523C8">
        <w:rPr>
          <w:rFonts w:ascii="Times New Roman" w:hAnsi="Times New Roman"/>
          <w:color w:val="000000" w:themeColor="text1"/>
          <w:lang w:val="en-US"/>
        </w:rPr>
        <w:t xml:space="preserve"> that the number of articles </w:t>
      </w:r>
      <w:r w:rsidR="00F03D07">
        <w:rPr>
          <w:rFonts w:ascii="Times New Roman" w:hAnsi="Times New Roman"/>
          <w:color w:val="000000" w:themeColor="text1"/>
          <w:lang w:val="en-US"/>
        </w:rPr>
        <w:t xml:space="preserve">containing </w:t>
      </w:r>
      <w:r w:rsidRPr="00D523C8">
        <w:rPr>
          <w:rFonts w:ascii="Times New Roman" w:hAnsi="Times New Roman"/>
          <w:color w:val="000000" w:themeColor="text1"/>
          <w:lang w:val="en-US"/>
        </w:rPr>
        <w:t>these keywords in the title is 241, with 182 articles published since 2010 and with 179 articles containing the term “policy mix(</w:t>
      </w:r>
      <w:r w:rsidR="00F03D07">
        <w:rPr>
          <w:rFonts w:ascii="Times New Roman" w:hAnsi="Times New Roman"/>
          <w:color w:val="000000" w:themeColor="text1"/>
          <w:lang w:val="en-US"/>
        </w:rPr>
        <w:t>e</w:t>
      </w:r>
      <w:r w:rsidRPr="00D523C8">
        <w:rPr>
          <w:rFonts w:ascii="Times New Roman" w:hAnsi="Times New Roman"/>
          <w:color w:val="000000" w:themeColor="text1"/>
          <w:lang w:val="en-US"/>
        </w:rPr>
        <w:t xml:space="preserve">s)”. </w:t>
      </w:r>
      <w:r w:rsidR="00F03D07">
        <w:rPr>
          <w:rFonts w:ascii="Times New Roman" w:hAnsi="Times New Roman"/>
          <w:color w:val="000000" w:themeColor="text1"/>
          <w:lang w:val="en-US"/>
        </w:rPr>
        <w:t>T</w:t>
      </w:r>
      <w:r w:rsidRPr="00D523C8">
        <w:rPr>
          <w:rFonts w:ascii="Times New Roman" w:hAnsi="Times New Roman"/>
          <w:color w:val="000000" w:themeColor="text1"/>
          <w:lang w:val="en-US"/>
        </w:rPr>
        <w:t xml:space="preserve">his study </w:t>
      </w:r>
      <w:r w:rsidR="00F03D07">
        <w:rPr>
          <w:rFonts w:ascii="Times New Roman" w:hAnsi="Times New Roman"/>
          <w:color w:val="000000" w:themeColor="text1"/>
          <w:lang w:val="en-US"/>
        </w:rPr>
        <w:t xml:space="preserve">therefore </w:t>
      </w:r>
      <w:r w:rsidRPr="00D523C8">
        <w:rPr>
          <w:rFonts w:ascii="Times New Roman" w:hAnsi="Times New Roman"/>
          <w:color w:val="000000" w:themeColor="text1"/>
          <w:lang w:val="en-US"/>
        </w:rPr>
        <w:t>uses the term “policy mix”. The keywords used for the bibliography search include “policy mix”, “policy mixes”, “policy package”, “policy packages”, “policy packaging”, “policy bundle”, “policy bundles”, “policy bundling”, “policy portfolio” and “policy portfolios”. The search is limited to literature containing any of these key</w:t>
      </w:r>
      <w:r w:rsidR="00796C59" w:rsidRPr="00D523C8">
        <w:rPr>
          <w:rFonts w:ascii="Times New Roman" w:hAnsi="Times New Roman"/>
          <w:color w:val="000000" w:themeColor="text1"/>
          <w:lang w:val="en-US"/>
        </w:rPr>
        <w:t xml:space="preserve"> </w:t>
      </w:r>
      <w:r w:rsidRPr="00D523C8">
        <w:rPr>
          <w:rFonts w:ascii="Times New Roman" w:hAnsi="Times New Roman"/>
          <w:color w:val="000000" w:themeColor="text1"/>
          <w:lang w:val="en-US"/>
        </w:rPr>
        <w:t>words in title</w:t>
      </w:r>
      <w:r w:rsidR="00796C59" w:rsidRPr="00D523C8">
        <w:rPr>
          <w:rFonts w:ascii="Times New Roman" w:hAnsi="Times New Roman"/>
          <w:color w:val="000000" w:themeColor="text1"/>
          <w:lang w:val="en-US"/>
        </w:rPr>
        <w:t>s</w:t>
      </w:r>
      <w:r w:rsidRPr="00D523C8">
        <w:rPr>
          <w:rFonts w:ascii="Times New Roman" w:hAnsi="Times New Roman"/>
          <w:color w:val="000000" w:themeColor="text1"/>
          <w:lang w:val="en-US"/>
        </w:rPr>
        <w:t>.</w:t>
      </w:r>
    </w:p>
    <w:p w14:paraId="2ACA9793" w14:textId="23CF49B9" w:rsidR="003E4271" w:rsidRPr="00D523C8" w:rsidRDefault="001911C1" w:rsidP="00527F0F">
      <w:pPr>
        <w:spacing w:line="360" w:lineRule="auto"/>
        <w:ind w:firstLine="720"/>
        <w:jc w:val="both"/>
        <w:rPr>
          <w:rFonts w:ascii="Times New Roman" w:hAnsi="Times New Roman"/>
          <w:lang w:val="en-US"/>
        </w:rPr>
      </w:pPr>
      <w:r w:rsidRPr="00D523C8">
        <w:rPr>
          <w:rFonts w:ascii="Times New Roman" w:hAnsi="Times New Roman"/>
          <w:color w:val="000000" w:themeColor="text1"/>
          <w:lang w:val="en-US" w:bidi="ar-SA"/>
        </w:rPr>
        <w:t>The</w:t>
      </w:r>
      <w:r w:rsidRPr="00D523C8">
        <w:rPr>
          <w:rFonts w:ascii="Times New Roman" w:hAnsi="Times New Roman"/>
          <w:lang w:val="en-US"/>
        </w:rPr>
        <w:t xml:space="preserve"> difference between “policy package” and “policy mix” is small</w:t>
      </w:r>
      <w:r w:rsidR="00730B4D" w:rsidRPr="00D523C8">
        <w:rPr>
          <w:rFonts w:ascii="Times New Roman" w:hAnsi="Times New Roman"/>
          <w:lang w:val="en-US"/>
        </w:rPr>
        <w:t xml:space="preserve"> and they are often used interchangeably in literature</w:t>
      </w:r>
      <w:r w:rsidRPr="00D523C8">
        <w:rPr>
          <w:rFonts w:ascii="Times New Roman" w:hAnsi="Times New Roman"/>
          <w:lang w:val="en-US"/>
        </w:rPr>
        <w:t xml:space="preserve">. Policy packages are often designed </w:t>
      </w:r>
      <w:r w:rsidR="00F03D07">
        <w:rPr>
          <w:rFonts w:ascii="Times New Roman" w:hAnsi="Times New Roman"/>
          <w:lang w:val="en-US"/>
        </w:rPr>
        <w:t>according to</w:t>
      </w:r>
      <w:r w:rsidR="00F03D07" w:rsidRPr="00D523C8">
        <w:rPr>
          <w:rFonts w:ascii="Times New Roman" w:hAnsi="Times New Roman"/>
          <w:lang w:val="en-US"/>
        </w:rPr>
        <w:t xml:space="preserve"> </w:t>
      </w:r>
      <w:r w:rsidRPr="00D523C8">
        <w:rPr>
          <w:rFonts w:ascii="Times New Roman" w:hAnsi="Times New Roman"/>
          <w:lang w:val="en-US"/>
        </w:rPr>
        <w:t>a systematic approach. A policy mix is a broader concept</w:t>
      </w:r>
      <w:r w:rsidR="00F03D07">
        <w:rPr>
          <w:rFonts w:ascii="Times New Roman" w:hAnsi="Times New Roman"/>
          <w:lang w:val="en-US"/>
        </w:rPr>
        <w:t xml:space="preserve"> that </w:t>
      </w:r>
      <w:r w:rsidRPr="00D523C8">
        <w:rPr>
          <w:rFonts w:ascii="Times New Roman" w:hAnsi="Times New Roman"/>
          <w:lang w:val="en-US"/>
        </w:rPr>
        <w:t xml:space="preserve">can not only refer to well-designed policy packages, but also to less well-designed bundles of policy instruments formulated through processes of layering new policy instruments over a long period of time. </w:t>
      </w:r>
      <w:r w:rsidRPr="00D523C8">
        <w:rPr>
          <w:rFonts w:ascii="Times New Roman" w:hAnsi="Times New Roman"/>
          <w:color w:val="222222"/>
          <w:shd w:val="clear" w:color="auto" w:fill="FFFFFF"/>
          <w:lang w:val="en-US"/>
        </w:rPr>
        <w:t xml:space="preserve">A policy mix </w:t>
      </w:r>
      <w:r w:rsidR="00F03D07">
        <w:rPr>
          <w:rFonts w:ascii="Times New Roman" w:hAnsi="Times New Roman"/>
          <w:color w:val="222222"/>
          <w:shd w:val="clear" w:color="auto" w:fill="FFFFFF"/>
          <w:lang w:val="en-US"/>
        </w:rPr>
        <w:t xml:space="preserve">can </w:t>
      </w:r>
      <w:r w:rsidRPr="00D523C8">
        <w:rPr>
          <w:rFonts w:ascii="Times New Roman" w:hAnsi="Times New Roman"/>
          <w:color w:val="222222"/>
          <w:shd w:val="clear" w:color="auto" w:fill="FFFFFF"/>
          <w:lang w:val="en-US"/>
        </w:rPr>
        <w:t xml:space="preserve">not only be narrowly used to indicate a policy instrument mix, but can </w:t>
      </w:r>
      <w:r w:rsidR="00F03D07">
        <w:rPr>
          <w:rFonts w:ascii="Times New Roman" w:hAnsi="Times New Roman"/>
          <w:color w:val="222222"/>
          <w:shd w:val="clear" w:color="auto" w:fill="FFFFFF"/>
          <w:lang w:val="en-US"/>
        </w:rPr>
        <w:t xml:space="preserve">also </w:t>
      </w:r>
      <w:r w:rsidRPr="00D523C8">
        <w:rPr>
          <w:rFonts w:ascii="Times New Roman" w:hAnsi="Times New Roman"/>
          <w:color w:val="222222"/>
          <w:shd w:val="clear" w:color="auto" w:fill="FFFFFF"/>
          <w:lang w:val="en-US"/>
        </w:rPr>
        <w:t xml:space="preserve">be used in a much </w:t>
      </w:r>
      <w:r w:rsidR="00F03D07">
        <w:rPr>
          <w:rFonts w:ascii="Times New Roman" w:hAnsi="Times New Roman"/>
          <w:color w:val="222222"/>
          <w:shd w:val="clear" w:color="auto" w:fill="FFFFFF"/>
          <w:lang w:val="en-US"/>
        </w:rPr>
        <w:t xml:space="preserve">more </w:t>
      </w:r>
      <w:r w:rsidRPr="00D523C8">
        <w:rPr>
          <w:rFonts w:ascii="Times New Roman" w:hAnsi="Times New Roman"/>
          <w:color w:val="222222"/>
          <w:shd w:val="clear" w:color="auto" w:fill="FFFFFF"/>
          <w:lang w:val="en-US"/>
        </w:rPr>
        <w:t xml:space="preserve">complex context to refer to a policy mix with multiple policy instruments and programs (e.g. in the case of climate change). </w:t>
      </w:r>
      <w:r w:rsidRPr="00D523C8">
        <w:rPr>
          <w:rFonts w:ascii="Times New Roman" w:hAnsi="Times New Roman"/>
          <w:lang w:val="en-US"/>
        </w:rPr>
        <w:t xml:space="preserve">Following the convention in literature, </w:t>
      </w:r>
      <w:r w:rsidR="00730B4D" w:rsidRPr="00D523C8">
        <w:rPr>
          <w:rFonts w:ascii="Times New Roman" w:hAnsi="Times New Roman"/>
          <w:lang w:val="en-US"/>
        </w:rPr>
        <w:t>this study</w:t>
      </w:r>
      <w:r w:rsidRPr="00D523C8">
        <w:rPr>
          <w:rFonts w:ascii="Times New Roman" w:hAnsi="Times New Roman"/>
          <w:lang w:val="en-US"/>
        </w:rPr>
        <w:t xml:space="preserve"> uses “policy mix” and “policy package” as interchangeable nouns.</w:t>
      </w:r>
    </w:p>
    <w:p w14:paraId="4C592568" w14:textId="30AB0AB2" w:rsidR="001911C1" w:rsidRPr="00D523C8" w:rsidRDefault="00D52B03" w:rsidP="003B745A">
      <w:pPr>
        <w:pStyle w:val="Heading1"/>
        <w:spacing w:after="240"/>
        <w:rPr>
          <w:rFonts w:ascii="Times New Roman" w:hAnsi="Times New Roman" w:cs="Times New Roman"/>
          <w:color w:val="000000" w:themeColor="text1"/>
        </w:rPr>
      </w:pPr>
      <w:r w:rsidRPr="00D523C8">
        <w:rPr>
          <w:rFonts w:ascii="Times New Roman" w:hAnsi="Times New Roman" w:cs="Times New Roman"/>
          <w:color w:val="000000" w:themeColor="text1"/>
        </w:rPr>
        <w:lastRenderedPageBreak/>
        <w:t xml:space="preserve">A2 </w:t>
      </w:r>
      <w:r w:rsidR="00096776" w:rsidRPr="00D523C8">
        <w:rPr>
          <w:rFonts w:ascii="Times New Roman" w:hAnsi="Times New Roman" w:cs="Times New Roman"/>
          <w:color w:val="000000" w:themeColor="text1"/>
        </w:rPr>
        <w:t>S</w:t>
      </w:r>
      <w:r w:rsidR="00365F25" w:rsidRPr="00D523C8">
        <w:rPr>
          <w:rFonts w:ascii="Times New Roman" w:hAnsi="Times New Roman" w:cs="Times New Roman"/>
          <w:color w:val="000000" w:themeColor="text1"/>
        </w:rPr>
        <w:t>earching</w:t>
      </w:r>
      <w:r w:rsidR="00096776" w:rsidRPr="00D523C8">
        <w:rPr>
          <w:rFonts w:ascii="Times New Roman" w:hAnsi="Times New Roman" w:cs="Times New Roman"/>
          <w:color w:val="000000" w:themeColor="text1"/>
        </w:rPr>
        <w:t xml:space="preserve"> strategy</w:t>
      </w:r>
      <w:r w:rsidR="00365F25" w:rsidRPr="00D523C8">
        <w:rPr>
          <w:rFonts w:ascii="Times New Roman" w:hAnsi="Times New Roman" w:cs="Times New Roman"/>
          <w:color w:val="000000" w:themeColor="text1"/>
        </w:rPr>
        <w:t xml:space="preserve"> for relevant policy documents</w:t>
      </w:r>
    </w:p>
    <w:p w14:paraId="7136E273" w14:textId="149C45F1" w:rsidR="005E3AC8" w:rsidRPr="00D523C8" w:rsidRDefault="000479B5" w:rsidP="00096776">
      <w:pPr>
        <w:spacing w:line="360" w:lineRule="auto"/>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W</w:t>
      </w:r>
      <w:r w:rsidR="00EE46EE" w:rsidRPr="00D523C8">
        <w:rPr>
          <w:rFonts w:ascii="Times New Roman" w:hAnsi="Times New Roman"/>
          <w:color w:val="000000" w:themeColor="text1"/>
          <w:szCs w:val="22"/>
          <w:lang w:val="en-US"/>
        </w:rPr>
        <w:t xml:space="preserve">e searched for relevant Chinese policy documents to make a preliminary identification of the instrument mix serving each policy strategy. The policy documents were from the </w:t>
      </w:r>
      <w:proofErr w:type="spellStart"/>
      <w:r w:rsidR="00EE46EE" w:rsidRPr="00D523C8">
        <w:rPr>
          <w:rFonts w:ascii="Times New Roman" w:hAnsi="Times New Roman"/>
          <w:i/>
          <w:color w:val="000000" w:themeColor="text1"/>
          <w:szCs w:val="22"/>
          <w:lang w:val="en-US"/>
        </w:rPr>
        <w:t>pkulaw</w:t>
      </w:r>
      <w:proofErr w:type="spellEnd"/>
      <w:r w:rsidR="00EE46EE" w:rsidRPr="00D523C8">
        <w:rPr>
          <w:rFonts w:ascii="Times New Roman" w:hAnsi="Times New Roman"/>
          <w:color w:val="000000" w:themeColor="text1"/>
          <w:szCs w:val="22"/>
          <w:lang w:val="en-US"/>
        </w:rPr>
        <w:t xml:space="preserve"> database</w:t>
      </w:r>
      <w:r w:rsidR="00EE46EE" w:rsidRPr="00632159">
        <w:rPr>
          <w:rStyle w:val="FootnoteReference"/>
        </w:rPr>
        <w:footnoteReference w:id="2"/>
      </w:r>
      <w:r w:rsidR="00F03D07">
        <w:rPr>
          <w:rFonts w:ascii="Times New Roman" w:hAnsi="Times New Roman"/>
          <w:color w:val="000000" w:themeColor="text1"/>
          <w:szCs w:val="22"/>
          <w:lang w:val="en-US"/>
        </w:rPr>
        <w:t>,</w:t>
      </w:r>
      <w:r w:rsidR="00EE46EE" w:rsidRPr="00D523C8">
        <w:rPr>
          <w:rFonts w:ascii="Times New Roman" w:hAnsi="Times New Roman"/>
          <w:color w:val="000000" w:themeColor="text1"/>
          <w:szCs w:val="22"/>
          <w:lang w:val="en-US"/>
        </w:rPr>
        <w:t xml:space="preserve"> which incorporates the national-level and local-level policy documents of China. In China, the central government is the main policy-making body in the electricity sector, so we limited the search to the national policy documents in this study. We searched for policy documents with titles containing the following keywords: “wind power” (</w:t>
      </w:r>
      <w:proofErr w:type="spellStart"/>
      <w:r w:rsidR="00EE46EE" w:rsidRPr="00D523C8">
        <w:rPr>
          <w:rFonts w:ascii="Times New Roman" w:hAnsi="Times New Roman"/>
          <w:i/>
          <w:color w:val="000000" w:themeColor="text1"/>
          <w:szCs w:val="22"/>
          <w:lang w:val="en-US"/>
        </w:rPr>
        <w:t>feng</w:t>
      </w:r>
      <w:proofErr w:type="spellEnd"/>
      <w:r w:rsidR="00EE46EE" w:rsidRPr="00D523C8">
        <w:rPr>
          <w:rFonts w:ascii="Times New Roman" w:hAnsi="Times New Roman"/>
          <w:i/>
          <w:color w:val="000000" w:themeColor="text1"/>
          <w:szCs w:val="22"/>
          <w:lang w:val="en-US"/>
        </w:rPr>
        <w:t xml:space="preserve"> </w:t>
      </w:r>
      <w:proofErr w:type="spellStart"/>
      <w:r w:rsidR="00EE46EE" w:rsidRPr="00D523C8">
        <w:rPr>
          <w:rFonts w:ascii="Times New Roman" w:hAnsi="Times New Roman"/>
          <w:i/>
          <w:color w:val="000000" w:themeColor="text1"/>
          <w:szCs w:val="22"/>
          <w:lang w:val="en-US"/>
        </w:rPr>
        <w:t>dian</w:t>
      </w:r>
      <w:proofErr w:type="spellEnd"/>
      <w:r w:rsidR="00EE46EE" w:rsidRPr="00D523C8">
        <w:rPr>
          <w:rFonts w:ascii="Times New Roman" w:hAnsi="Times New Roman"/>
          <w:color w:val="000000" w:themeColor="text1"/>
          <w:szCs w:val="22"/>
          <w:lang w:val="en-US"/>
        </w:rPr>
        <w:t xml:space="preserve"> or </w:t>
      </w:r>
      <w:proofErr w:type="spellStart"/>
      <w:r w:rsidR="00EE46EE" w:rsidRPr="00D523C8">
        <w:rPr>
          <w:rFonts w:ascii="Times New Roman" w:hAnsi="Times New Roman"/>
          <w:i/>
          <w:color w:val="000000" w:themeColor="text1"/>
          <w:szCs w:val="22"/>
          <w:lang w:val="en-US"/>
        </w:rPr>
        <w:t>feng</w:t>
      </w:r>
      <w:proofErr w:type="spellEnd"/>
      <w:r w:rsidR="00EE46EE" w:rsidRPr="00D523C8">
        <w:rPr>
          <w:rFonts w:ascii="Times New Roman" w:hAnsi="Times New Roman"/>
          <w:i/>
          <w:color w:val="000000" w:themeColor="text1"/>
          <w:szCs w:val="22"/>
          <w:lang w:val="en-US"/>
        </w:rPr>
        <w:t xml:space="preserve"> li fa </w:t>
      </w:r>
      <w:proofErr w:type="spellStart"/>
      <w:r w:rsidR="00EE46EE" w:rsidRPr="00D523C8">
        <w:rPr>
          <w:rFonts w:ascii="Times New Roman" w:hAnsi="Times New Roman"/>
          <w:i/>
          <w:color w:val="000000" w:themeColor="text1"/>
          <w:szCs w:val="22"/>
          <w:lang w:val="en-US"/>
        </w:rPr>
        <w:t>dian</w:t>
      </w:r>
      <w:proofErr w:type="spellEnd"/>
      <w:r w:rsidR="00EE46EE" w:rsidRPr="00D523C8">
        <w:rPr>
          <w:rFonts w:ascii="Times New Roman" w:hAnsi="Times New Roman"/>
          <w:color w:val="000000" w:themeColor="text1"/>
          <w:szCs w:val="22"/>
          <w:lang w:val="en-US"/>
        </w:rPr>
        <w:t>), “solar PV” (</w:t>
      </w:r>
      <w:proofErr w:type="spellStart"/>
      <w:r w:rsidR="00EE46EE" w:rsidRPr="00D523C8">
        <w:rPr>
          <w:rFonts w:ascii="Times New Roman" w:hAnsi="Times New Roman"/>
          <w:i/>
          <w:color w:val="000000" w:themeColor="text1"/>
          <w:szCs w:val="22"/>
          <w:lang w:val="en-US"/>
        </w:rPr>
        <w:t>guang</w:t>
      </w:r>
      <w:proofErr w:type="spellEnd"/>
      <w:r w:rsidR="00EE46EE" w:rsidRPr="00D523C8">
        <w:rPr>
          <w:rFonts w:ascii="Times New Roman" w:hAnsi="Times New Roman"/>
          <w:i/>
          <w:color w:val="000000" w:themeColor="text1"/>
          <w:szCs w:val="22"/>
          <w:lang w:val="en-US"/>
        </w:rPr>
        <w:t xml:space="preserve"> </w:t>
      </w:r>
      <w:proofErr w:type="spellStart"/>
      <w:r w:rsidR="00EE46EE" w:rsidRPr="00D523C8">
        <w:rPr>
          <w:rFonts w:ascii="Times New Roman" w:hAnsi="Times New Roman"/>
          <w:i/>
          <w:color w:val="000000" w:themeColor="text1"/>
          <w:szCs w:val="22"/>
          <w:lang w:val="en-US"/>
        </w:rPr>
        <w:t>fu</w:t>
      </w:r>
      <w:proofErr w:type="spellEnd"/>
      <w:r w:rsidR="00EE46EE" w:rsidRPr="00D523C8">
        <w:rPr>
          <w:rFonts w:ascii="Times New Roman" w:hAnsi="Times New Roman"/>
          <w:color w:val="000000" w:themeColor="text1"/>
          <w:szCs w:val="22"/>
          <w:lang w:val="en-US"/>
        </w:rPr>
        <w:t>), “hydroelectricity” (</w:t>
      </w:r>
      <w:proofErr w:type="spellStart"/>
      <w:r w:rsidR="00EE46EE" w:rsidRPr="00D523C8">
        <w:rPr>
          <w:rFonts w:ascii="Times New Roman" w:hAnsi="Times New Roman"/>
          <w:i/>
          <w:color w:val="000000" w:themeColor="text1"/>
          <w:szCs w:val="22"/>
          <w:lang w:val="en-US"/>
        </w:rPr>
        <w:t>shui</w:t>
      </w:r>
      <w:proofErr w:type="spellEnd"/>
      <w:r w:rsidR="00EE46EE" w:rsidRPr="00D523C8">
        <w:rPr>
          <w:rFonts w:ascii="Times New Roman" w:hAnsi="Times New Roman"/>
          <w:i/>
          <w:color w:val="000000" w:themeColor="text1"/>
          <w:szCs w:val="22"/>
          <w:lang w:val="en-US"/>
        </w:rPr>
        <w:t xml:space="preserve"> </w:t>
      </w:r>
      <w:proofErr w:type="spellStart"/>
      <w:r w:rsidR="00EE46EE" w:rsidRPr="00D523C8">
        <w:rPr>
          <w:rFonts w:ascii="Times New Roman" w:hAnsi="Times New Roman"/>
          <w:i/>
          <w:color w:val="000000" w:themeColor="text1"/>
          <w:szCs w:val="22"/>
          <w:lang w:val="en-US"/>
        </w:rPr>
        <w:t>dian</w:t>
      </w:r>
      <w:proofErr w:type="spellEnd"/>
      <w:r w:rsidR="00EE46EE" w:rsidRPr="00D523C8">
        <w:rPr>
          <w:rFonts w:ascii="Times New Roman" w:hAnsi="Times New Roman"/>
          <w:color w:val="000000" w:themeColor="text1"/>
          <w:szCs w:val="22"/>
          <w:lang w:val="en-US"/>
        </w:rPr>
        <w:t>), “renewable energy” (</w:t>
      </w:r>
      <w:proofErr w:type="spellStart"/>
      <w:r w:rsidR="00EE46EE" w:rsidRPr="00D523C8">
        <w:rPr>
          <w:rFonts w:ascii="Times New Roman" w:hAnsi="Times New Roman"/>
          <w:i/>
          <w:color w:val="000000" w:themeColor="text1"/>
          <w:szCs w:val="22"/>
          <w:lang w:val="en-US"/>
        </w:rPr>
        <w:t>ke</w:t>
      </w:r>
      <w:proofErr w:type="spellEnd"/>
      <w:r w:rsidR="00EE46EE" w:rsidRPr="00D523C8">
        <w:rPr>
          <w:rFonts w:ascii="Times New Roman" w:hAnsi="Times New Roman"/>
          <w:i/>
          <w:color w:val="000000" w:themeColor="text1"/>
          <w:szCs w:val="22"/>
          <w:lang w:val="en-US"/>
        </w:rPr>
        <w:t xml:space="preserve"> </w:t>
      </w:r>
      <w:proofErr w:type="spellStart"/>
      <w:r w:rsidR="00EE46EE" w:rsidRPr="00D523C8">
        <w:rPr>
          <w:rFonts w:ascii="Times New Roman" w:hAnsi="Times New Roman"/>
          <w:i/>
          <w:color w:val="000000" w:themeColor="text1"/>
          <w:szCs w:val="22"/>
          <w:lang w:val="en-US"/>
        </w:rPr>
        <w:t>zai</w:t>
      </w:r>
      <w:proofErr w:type="spellEnd"/>
      <w:r w:rsidR="00EE46EE" w:rsidRPr="00D523C8">
        <w:rPr>
          <w:rFonts w:ascii="Times New Roman" w:hAnsi="Times New Roman"/>
          <w:i/>
          <w:color w:val="000000" w:themeColor="text1"/>
          <w:szCs w:val="22"/>
          <w:lang w:val="en-US"/>
        </w:rPr>
        <w:t xml:space="preserve"> sheng </w:t>
      </w:r>
      <w:proofErr w:type="spellStart"/>
      <w:r w:rsidR="00EE46EE" w:rsidRPr="00D523C8">
        <w:rPr>
          <w:rFonts w:ascii="Times New Roman" w:hAnsi="Times New Roman"/>
          <w:i/>
          <w:color w:val="000000" w:themeColor="text1"/>
          <w:szCs w:val="22"/>
          <w:lang w:val="en-US"/>
        </w:rPr>
        <w:t>neng</w:t>
      </w:r>
      <w:proofErr w:type="spellEnd"/>
      <w:r w:rsidR="00EE46EE" w:rsidRPr="00D523C8">
        <w:rPr>
          <w:rFonts w:ascii="Times New Roman" w:hAnsi="Times New Roman"/>
          <w:i/>
          <w:color w:val="000000" w:themeColor="text1"/>
          <w:szCs w:val="22"/>
          <w:lang w:val="en-US"/>
        </w:rPr>
        <w:t xml:space="preserve"> yuan</w:t>
      </w:r>
      <w:r w:rsidR="00EE46EE" w:rsidRPr="00D523C8">
        <w:rPr>
          <w:rFonts w:ascii="Times New Roman" w:hAnsi="Times New Roman"/>
          <w:color w:val="000000" w:themeColor="text1"/>
          <w:szCs w:val="22"/>
          <w:lang w:val="en-US"/>
        </w:rPr>
        <w:t>), “sulfur dioxide” (</w:t>
      </w:r>
      <w:proofErr w:type="spellStart"/>
      <w:r w:rsidR="00EE46EE" w:rsidRPr="00D523C8">
        <w:rPr>
          <w:rFonts w:ascii="Times New Roman" w:hAnsi="Times New Roman"/>
          <w:i/>
          <w:color w:val="000000" w:themeColor="text1"/>
          <w:szCs w:val="22"/>
          <w:lang w:val="en-US"/>
        </w:rPr>
        <w:t>er</w:t>
      </w:r>
      <w:proofErr w:type="spellEnd"/>
      <w:r w:rsidR="00EE46EE" w:rsidRPr="00D523C8">
        <w:rPr>
          <w:rFonts w:ascii="Times New Roman" w:hAnsi="Times New Roman"/>
          <w:i/>
          <w:color w:val="000000" w:themeColor="text1"/>
          <w:szCs w:val="22"/>
          <w:lang w:val="en-US"/>
        </w:rPr>
        <w:t xml:space="preserve"> yang </w:t>
      </w:r>
      <w:proofErr w:type="spellStart"/>
      <w:r w:rsidR="00EE46EE" w:rsidRPr="00D523C8">
        <w:rPr>
          <w:rFonts w:ascii="Times New Roman" w:hAnsi="Times New Roman"/>
          <w:i/>
          <w:color w:val="000000" w:themeColor="text1"/>
          <w:szCs w:val="22"/>
          <w:lang w:val="en-US"/>
        </w:rPr>
        <w:t>hua</w:t>
      </w:r>
      <w:proofErr w:type="spellEnd"/>
      <w:r w:rsidR="00EE46EE" w:rsidRPr="00D523C8">
        <w:rPr>
          <w:rFonts w:ascii="Times New Roman" w:hAnsi="Times New Roman"/>
          <w:i/>
          <w:color w:val="000000" w:themeColor="text1"/>
          <w:szCs w:val="22"/>
          <w:lang w:val="en-US"/>
        </w:rPr>
        <w:t xml:space="preserve"> </w:t>
      </w:r>
      <w:proofErr w:type="spellStart"/>
      <w:r w:rsidR="00EE46EE" w:rsidRPr="00D523C8">
        <w:rPr>
          <w:rFonts w:ascii="Times New Roman" w:hAnsi="Times New Roman"/>
          <w:i/>
          <w:color w:val="000000" w:themeColor="text1"/>
          <w:szCs w:val="22"/>
          <w:lang w:val="en-US"/>
        </w:rPr>
        <w:t>liu</w:t>
      </w:r>
      <w:proofErr w:type="spellEnd"/>
      <w:r w:rsidR="00EE46EE" w:rsidRPr="00D523C8">
        <w:rPr>
          <w:rFonts w:ascii="Times New Roman" w:hAnsi="Times New Roman"/>
          <w:color w:val="000000" w:themeColor="text1"/>
          <w:szCs w:val="22"/>
          <w:lang w:val="en-US"/>
        </w:rPr>
        <w:t>), “carbon dioxide” (</w:t>
      </w:r>
      <w:proofErr w:type="spellStart"/>
      <w:r w:rsidR="00EE46EE" w:rsidRPr="00D523C8">
        <w:rPr>
          <w:rFonts w:ascii="Times New Roman" w:hAnsi="Times New Roman"/>
          <w:i/>
          <w:color w:val="000000" w:themeColor="text1"/>
          <w:szCs w:val="22"/>
          <w:lang w:val="en-US"/>
        </w:rPr>
        <w:t>er</w:t>
      </w:r>
      <w:proofErr w:type="spellEnd"/>
      <w:r w:rsidR="00EE46EE" w:rsidRPr="00D523C8">
        <w:rPr>
          <w:rFonts w:ascii="Times New Roman" w:hAnsi="Times New Roman"/>
          <w:i/>
          <w:color w:val="000000" w:themeColor="text1"/>
          <w:szCs w:val="22"/>
          <w:lang w:val="en-US"/>
        </w:rPr>
        <w:t xml:space="preserve"> yang </w:t>
      </w:r>
      <w:proofErr w:type="spellStart"/>
      <w:r w:rsidR="00EE46EE" w:rsidRPr="00D523C8">
        <w:rPr>
          <w:rFonts w:ascii="Times New Roman" w:hAnsi="Times New Roman"/>
          <w:i/>
          <w:color w:val="000000" w:themeColor="text1"/>
          <w:szCs w:val="22"/>
          <w:lang w:val="en-US"/>
        </w:rPr>
        <w:t>hua</w:t>
      </w:r>
      <w:proofErr w:type="spellEnd"/>
      <w:r w:rsidR="00EE46EE" w:rsidRPr="00D523C8">
        <w:rPr>
          <w:rFonts w:ascii="Times New Roman" w:hAnsi="Times New Roman"/>
          <w:i/>
          <w:color w:val="000000" w:themeColor="text1"/>
          <w:szCs w:val="22"/>
          <w:lang w:val="en-US"/>
        </w:rPr>
        <w:t xml:space="preserve"> tan</w:t>
      </w:r>
      <w:r w:rsidR="00EE46EE" w:rsidRPr="00D523C8">
        <w:rPr>
          <w:rFonts w:ascii="Times New Roman" w:hAnsi="Times New Roman"/>
          <w:color w:val="000000" w:themeColor="text1"/>
          <w:szCs w:val="22"/>
          <w:lang w:val="en-US"/>
        </w:rPr>
        <w:t>), “greenhouse gas” (</w:t>
      </w:r>
      <w:r w:rsidR="00EE46EE" w:rsidRPr="00D523C8">
        <w:rPr>
          <w:rFonts w:ascii="Times New Roman" w:hAnsi="Times New Roman"/>
          <w:i/>
          <w:color w:val="000000" w:themeColor="text1"/>
          <w:szCs w:val="22"/>
          <w:lang w:val="en-US"/>
        </w:rPr>
        <w:t xml:space="preserve">wen </w:t>
      </w:r>
      <w:proofErr w:type="spellStart"/>
      <w:r w:rsidR="00EE46EE" w:rsidRPr="00D523C8">
        <w:rPr>
          <w:rFonts w:ascii="Times New Roman" w:hAnsi="Times New Roman"/>
          <w:i/>
          <w:color w:val="000000" w:themeColor="text1"/>
          <w:szCs w:val="22"/>
          <w:lang w:val="en-US"/>
        </w:rPr>
        <w:t>shi</w:t>
      </w:r>
      <w:proofErr w:type="spellEnd"/>
      <w:r w:rsidR="00EE46EE" w:rsidRPr="00D523C8">
        <w:rPr>
          <w:rFonts w:ascii="Times New Roman" w:hAnsi="Times New Roman"/>
          <w:i/>
          <w:color w:val="000000" w:themeColor="text1"/>
          <w:szCs w:val="22"/>
          <w:lang w:val="en-US"/>
        </w:rPr>
        <w:t xml:space="preserve"> qi </w:t>
      </w:r>
      <w:proofErr w:type="spellStart"/>
      <w:r w:rsidR="00EE46EE" w:rsidRPr="00D523C8">
        <w:rPr>
          <w:rFonts w:ascii="Times New Roman" w:hAnsi="Times New Roman"/>
          <w:i/>
          <w:color w:val="000000" w:themeColor="text1"/>
          <w:szCs w:val="22"/>
          <w:lang w:val="en-US"/>
        </w:rPr>
        <w:t>ti</w:t>
      </w:r>
      <w:proofErr w:type="spellEnd"/>
      <w:r w:rsidR="00EE46EE" w:rsidRPr="00D523C8">
        <w:rPr>
          <w:rFonts w:ascii="Times New Roman" w:hAnsi="Times New Roman"/>
          <w:color w:val="000000" w:themeColor="text1"/>
          <w:szCs w:val="22"/>
          <w:lang w:val="en-US"/>
        </w:rPr>
        <w:t>), “low-carbon” (</w:t>
      </w:r>
      <w:r w:rsidR="00EE46EE" w:rsidRPr="00D523C8">
        <w:rPr>
          <w:rFonts w:ascii="Times New Roman" w:hAnsi="Times New Roman"/>
          <w:i/>
          <w:color w:val="000000" w:themeColor="text1"/>
          <w:szCs w:val="22"/>
          <w:lang w:val="en-US"/>
        </w:rPr>
        <w:t>di tan</w:t>
      </w:r>
      <w:r w:rsidR="00EE46EE" w:rsidRPr="00D523C8">
        <w:rPr>
          <w:rFonts w:ascii="Times New Roman" w:hAnsi="Times New Roman"/>
          <w:color w:val="000000" w:themeColor="text1"/>
          <w:szCs w:val="22"/>
          <w:lang w:val="en-US"/>
        </w:rPr>
        <w:t>), “carbon emissions” (</w:t>
      </w:r>
      <w:r w:rsidR="00EE46EE" w:rsidRPr="00D523C8">
        <w:rPr>
          <w:rFonts w:ascii="Times New Roman" w:hAnsi="Times New Roman"/>
          <w:i/>
          <w:color w:val="000000" w:themeColor="text1"/>
          <w:szCs w:val="22"/>
          <w:lang w:val="en-US"/>
        </w:rPr>
        <w:t xml:space="preserve">tan </w:t>
      </w:r>
      <w:proofErr w:type="spellStart"/>
      <w:r w:rsidR="00EE46EE" w:rsidRPr="00D523C8">
        <w:rPr>
          <w:rFonts w:ascii="Times New Roman" w:hAnsi="Times New Roman"/>
          <w:i/>
          <w:color w:val="000000" w:themeColor="text1"/>
          <w:szCs w:val="22"/>
          <w:lang w:val="en-US"/>
        </w:rPr>
        <w:t>pai</w:t>
      </w:r>
      <w:proofErr w:type="spellEnd"/>
      <w:r w:rsidR="00EE46EE" w:rsidRPr="00D523C8">
        <w:rPr>
          <w:rFonts w:ascii="Times New Roman" w:hAnsi="Times New Roman"/>
          <w:i/>
          <w:color w:val="000000" w:themeColor="text1"/>
          <w:szCs w:val="22"/>
          <w:lang w:val="en-US"/>
        </w:rPr>
        <w:t xml:space="preserve"> fang</w:t>
      </w:r>
      <w:r w:rsidR="00EE46EE" w:rsidRPr="00D523C8">
        <w:rPr>
          <w:rFonts w:ascii="Times New Roman" w:hAnsi="Times New Roman"/>
          <w:color w:val="000000" w:themeColor="text1"/>
          <w:szCs w:val="22"/>
          <w:lang w:val="en-US"/>
        </w:rPr>
        <w:t xml:space="preserve">) </w:t>
      </w:r>
      <w:r w:rsidR="00F03D07">
        <w:rPr>
          <w:rFonts w:ascii="Times New Roman" w:hAnsi="Times New Roman"/>
          <w:color w:val="000000" w:themeColor="text1"/>
          <w:szCs w:val="22"/>
          <w:lang w:val="en-US"/>
        </w:rPr>
        <w:t>or</w:t>
      </w:r>
      <w:r w:rsidR="00F03D07" w:rsidRPr="00D523C8">
        <w:rPr>
          <w:rFonts w:ascii="Times New Roman" w:hAnsi="Times New Roman"/>
          <w:color w:val="000000" w:themeColor="text1"/>
          <w:szCs w:val="22"/>
          <w:lang w:val="en-US"/>
        </w:rPr>
        <w:t xml:space="preserve"> </w:t>
      </w:r>
      <w:r w:rsidR="00EE46EE" w:rsidRPr="00D523C8">
        <w:rPr>
          <w:rFonts w:ascii="Times New Roman" w:hAnsi="Times New Roman"/>
          <w:color w:val="000000" w:themeColor="text1"/>
          <w:szCs w:val="22"/>
          <w:lang w:val="en-US"/>
        </w:rPr>
        <w:t>“pollutant discharge fee” (</w:t>
      </w:r>
      <w:proofErr w:type="spellStart"/>
      <w:r w:rsidR="00EE46EE" w:rsidRPr="00D523C8">
        <w:rPr>
          <w:rFonts w:ascii="Times New Roman" w:hAnsi="Times New Roman"/>
          <w:i/>
          <w:color w:val="000000" w:themeColor="text1"/>
          <w:szCs w:val="22"/>
          <w:lang w:val="en-US"/>
        </w:rPr>
        <w:t>pai</w:t>
      </w:r>
      <w:proofErr w:type="spellEnd"/>
      <w:r w:rsidR="00EE46EE" w:rsidRPr="00D523C8">
        <w:rPr>
          <w:rFonts w:ascii="Times New Roman" w:hAnsi="Times New Roman"/>
          <w:i/>
          <w:color w:val="000000" w:themeColor="text1"/>
          <w:szCs w:val="22"/>
          <w:lang w:val="en-US"/>
        </w:rPr>
        <w:t xml:space="preserve"> </w:t>
      </w:r>
      <w:proofErr w:type="spellStart"/>
      <w:r w:rsidR="00EE46EE" w:rsidRPr="00D523C8">
        <w:rPr>
          <w:rFonts w:ascii="Times New Roman" w:hAnsi="Times New Roman"/>
          <w:i/>
          <w:color w:val="000000" w:themeColor="text1"/>
          <w:szCs w:val="22"/>
          <w:lang w:val="en-US"/>
        </w:rPr>
        <w:t>wu</w:t>
      </w:r>
      <w:proofErr w:type="spellEnd"/>
      <w:r w:rsidR="00EE46EE" w:rsidRPr="00D523C8">
        <w:rPr>
          <w:rFonts w:ascii="Times New Roman" w:hAnsi="Times New Roman"/>
          <w:i/>
          <w:color w:val="000000" w:themeColor="text1"/>
          <w:szCs w:val="22"/>
          <w:lang w:val="en-US"/>
        </w:rPr>
        <w:t xml:space="preserve"> </w:t>
      </w:r>
      <w:proofErr w:type="spellStart"/>
      <w:r w:rsidR="00EE46EE" w:rsidRPr="00D523C8">
        <w:rPr>
          <w:rFonts w:ascii="Times New Roman" w:hAnsi="Times New Roman"/>
          <w:i/>
          <w:color w:val="000000" w:themeColor="text1"/>
          <w:szCs w:val="22"/>
          <w:lang w:val="en-US"/>
        </w:rPr>
        <w:t>fei</w:t>
      </w:r>
      <w:proofErr w:type="spellEnd"/>
      <w:r w:rsidR="00EE46EE" w:rsidRPr="00D523C8">
        <w:rPr>
          <w:rFonts w:ascii="Times New Roman" w:hAnsi="Times New Roman"/>
          <w:color w:val="000000" w:themeColor="text1"/>
          <w:szCs w:val="22"/>
          <w:lang w:val="en-US"/>
        </w:rPr>
        <w:t>). With no time limit, the initial search resulted in 1</w:t>
      </w:r>
      <w:r w:rsidR="00F03D07">
        <w:rPr>
          <w:rFonts w:ascii="Times New Roman" w:hAnsi="Times New Roman"/>
          <w:color w:val="000000" w:themeColor="text1"/>
          <w:szCs w:val="22"/>
          <w:lang w:val="en-US"/>
        </w:rPr>
        <w:t>,</w:t>
      </w:r>
      <w:r w:rsidR="00EE46EE" w:rsidRPr="00D523C8">
        <w:rPr>
          <w:rFonts w:ascii="Times New Roman" w:hAnsi="Times New Roman"/>
          <w:color w:val="000000" w:themeColor="text1"/>
          <w:szCs w:val="22"/>
          <w:lang w:val="en-US"/>
        </w:rPr>
        <w:t xml:space="preserve">069 policy documents, including 96 documents on “wind power”, 143 on “solar power”, 433 on “hydroelectricity”, 114 on “renewable energy”, 33 on “sulfur dioxide”, 7 on “carbon dioxide”, 15 on “greenhouse gas”, 61 on “low-carbon”, 16 on “carbon emissions” and 151 on “pollutant discharge fee”. After removing duplicates and </w:t>
      </w:r>
      <w:r w:rsidR="00F03D07">
        <w:rPr>
          <w:rFonts w:ascii="Times New Roman" w:hAnsi="Times New Roman"/>
          <w:color w:val="000000" w:themeColor="text1"/>
          <w:szCs w:val="22"/>
          <w:lang w:val="en-US"/>
        </w:rPr>
        <w:t xml:space="preserve">a </w:t>
      </w:r>
      <w:r w:rsidR="00EE46EE" w:rsidRPr="00D523C8">
        <w:rPr>
          <w:rFonts w:ascii="Times New Roman" w:hAnsi="Times New Roman"/>
          <w:color w:val="000000" w:themeColor="text1"/>
          <w:szCs w:val="22"/>
          <w:lang w:val="en-US"/>
        </w:rPr>
        <w:t xml:space="preserve">preliminary screening based on relevance, we downloaded the full texts of the 217 relevant policy documents (in Chinese). </w:t>
      </w:r>
      <w:r w:rsidR="00F03D07">
        <w:rPr>
          <w:rFonts w:ascii="Times New Roman" w:hAnsi="Times New Roman"/>
          <w:color w:val="000000" w:themeColor="text1"/>
          <w:szCs w:val="22"/>
          <w:lang w:val="en-US"/>
        </w:rPr>
        <w:t>T</w:t>
      </w:r>
      <w:r w:rsidR="00EE46EE" w:rsidRPr="00D523C8">
        <w:rPr>
          <w:rFonts w:ascii="Times New Roman" w:hAnsi="Times New Roman"/>
          <w:color w:val="000000" w:themeColor="text1"/>
          <w:szCs w:val="22"/>
          <w:lang w:val="en-US"/>
        </w:rPr>
        <w:t>o establish a thorough analysis of the instrument mixes, we reviewed the relevant literature to check if there were any other important policy documents and instruments that had been missed in the initial policy document search. In the end, we performed the analysis based on a review of 23</w:t>
      </w:r>
      <w:r w:rsidR="00E63316">
        <w:rPr>
          <w:rFonts w:ascii="Times New Roman" w:hAnsi="Times New Roman"/>
          <w:color w:val="000000" w:themeColor="text1"/>
          <w:szCs w:val="22"/>
          <w:lang w:val="en-US"/>
        </w:rPr>
        <w:t>7</w:t>
      </w:r>
      <w:r w:rsidR="00EE46EE" w:rsidRPr="00D523C8">
        <w:rPr>
          <w:rFonts w:ascii="Times New Roman" w:hAnsi="Times New Roman"/>
          <w:color w:val="000000" w:themeColor="text1"/>
          <w:szCs w:val="22"/>
          <w:lang w:val="en-US"/>
        </w:rPr>
        <w:t xml:space="preserve"> Chinese policy documents.</w:t>
      </w:r>
    </w:p>
    <w:p w14:paraId="77AADDE5" w14:textId="27183EAB" w:rsidR="005E3AC8" w:rsidRPr="00D523C8" w:rsidRDefault="00365F25" w:rsidP="003B745A">
      <w:pPr>
        <w:pStyle w:val="Heading1"/>
        <w:spacing w:after="240"/>
        <w:rPr>
          <w:rFonts w:ascii="Times New Roman" w:hAnsi="Times New Roman" w:cs="Times New Roman"/>
          <w:color w:val="000000" w:themeColor="text1"/>
        </w:rPr>
      </w:pPr>
      <w:r w:rsidRPr="00D523C8">
        <w:rPr>
          <w:rFonts w:ascii="Times New Roman" w:hAnsi="Times New Roman" w:cs="Times New Roman"/>
          <w:color w:val="000000" w:themeColor="text1"/>
        </w:rPr>
        <w:t>A</w:t>
      </w:r>
      <w:r w:rsidR="00401FE7" w:rsidRPr="00D523C8">
        <w:rPr>
          <w:rFonts w:ascii="Times New Roman" w:hAnsi="Times New Roman" w:cs="Times New Roman"/>
          <w:color w:val="000000" w:themeColor="text1"/>
        </w:rPr>
        <w:t>3</w:t>
      </w:r>
      <w:r w:rsidRPr="00D523C8">
        <w:rPr>
          <w:rFonts w:ascii="Times New Roman" w:hAnsi="Times New Roman" w:cs="Times New Roman"/>
          <w:color w:val="000000" w:themeColor="text1"/>
        </w:rPr>
        <w:t xml:space="preserve"> </w:t>
      </w:r>
      <w:r w:rsidR="006F416D" w:rsidRPr="00D523C8">
        <w:rPr>
          <w:rFonts w:ascii="Times New Roman" w:hAnsi="Times New Roman" w:cs="Times New Roman"/>
          <w:color w:val="000000" w:themeColor="text1"/>
        </w:rPr>
        <w:t>Coding</w:t>
      </w:r>
      <w:r w:rsidR="007C3522" w:rsidRPr="00D523C8">
        <w:rPr>
          <w:rFonts w:ascii="Times New Roman" w:hAnsi="Times New Roman" w:cs="Times New Roman"/>
          <w:color w:val="000000" w:themeColor="text1"/>
        </w:rPr>
        <w:t xml:space="preserve"> f</w:t>
      </w:r>
      <w:r w:rsidR="006F416D" w:rsidRPr="00D523C8">
        <w:rPr>
          <w:rFonts w:ascii="Times New Roman" w:hAnsi="Times New Roman" w:cs="Times New Roman"/>
          <w:color w:val="000000" w:themeColor="text1"/>
        </w:rPr>
        <w:t>ramework</w:t>
      </w:r>
    </w:p>
    <w:p w14:paraId="7297362B" w14:textId="6F4F6C3D" w:rsidR="00FA5F67" w:rsidRPr="00D523C8" w:rsidRDefault="008E3763" w:rsidP="007A35BD">
      <w:pPr>
        <w:spacing w:line="360" w:lineRule="auto"/>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A</w:t>
      </w:r>
      <w:r w:rsidR="004A1F01" w:rsidRPr="00D523C8">
        <w:rPr>
          <w:rFonts w:ascii="Times New Roman" w:hAnsi="Times New Roman"/>
          <w:color w:val="000000" w:themeColor="text1"/>
          <w:szCs w:val="22"/>
          <w:lang w:val="en-US"/>
        </w:rPr>
        <w:t>n Excel spreadsheet was used to manually record the information for the policy documents</w:t>
      </w:r>
      <w:r w:rsidR="00F03D07">
        <w:rPr>
          <w:rFonts w:ascii="Times New Roman" w:hAnsi="Times New Roman"/>
          <w:color w:val="000000" w:themeColor="text1"/>
          <w:szCs w:val="22"/>
          <w:lang w:val="en-US"/>
        </w:rPr>
        <w:t xml:space="preserve">. </w:t>
      </w:r>
      <w:r w:rsidRPr="00D523C8">
        <w:rPr>
          <w:rFonts w:ascii="Times New Roman" w:hAnsi="Times New Roman"/>
          <w:color w:val="000000" w:themeColor="text1"/>
          <w:szCs w:val="22"/>
          <w:lang w:val="en-US"/>
        </w:rPr>
        <w:t>Table A1 displays the coding framework</w:t>
      </w:r>
      <w:r w:rsidR="00970903">
        <w:rPr>
          <w:rFonts w:ascii="Times New Roman" w:hAnsi="Times New Roman"/>
          <w:color w:val="000000" w:themeColor="text1"/>
          <w:szCs w:val="22"/>
          <w:lang w:val="en-US"/>
        </w:rPr>
        <w:t>.</w:t>
      </w:r>
    </w:p>
    <w:p w14:paraId="28969A6A" w14:textId="46D8F45D" w:rsidR="000B5CB7" w:rsidRPr="00D523C8" w:rsidRDefault="000B5CB7" w:rsidP="007B619D">
      <w:pPr>
        <w:spacing w:line="360" w:lineRule="auto"/>
        <w:jc w:val="center"/>
        <w:rPr>
          <w:rFonts w:ascii="Times New Roman" w:hAnsi="Times New Roman"/>
          <w:color w:val="000000" w:themeColor="text1"/>
          <w:szCs w:val="22"/>
          <w:lang w:val="en-US"/>
        </w:rPr>
      </w:pPr>
      <w:r w:rsidRPr="00D523C8">
        <w:rPr>
          <w:rFonts w:ascii="Times New Roman" w:hAnsi="Times New Roman"/>
          <w:color w:val="000000" w:themeColor="text1"/>
          <w:szCs w:val="22"/>
          <w:lang w:val="en-US"/>
        </w:rPr>
        <w:t>Table A1.</w:t>
      </w:r>
      <w:r w:rsidR="007B619D" w:rsidRPr="00D523C8">
        <w:rPr>
          <w:rFonts w:ascii="Times New Roman" w:hAnsi="Times New Roman"/>
          <w:color w:val="000000" w:themeColor="text1"/>
          <w:szCs w:val="22"/>
          <w:lang w:val="en-US"/>
        </w:rPr>
        <w:t xml:space="preserve"> Coding framework</w:t>
      </w:r>
    </w:p>
    <w:tbl>
      <w:tblPr>
        <w:tblStyle w:val="TableGrid"/>
        <w:tblW w:w="5000" w:type="pct"/>
        <w:tblLook w:val="04A0" w:firstRow="1" w:lastRow="0" w:firstColumn="1" w:lastColumn="0" w:noHBand="0" w:noVBand="1"/>
      </w:tblPr>
      <w:tblGrid>
        <w:gridCol w:w="1300"/>
        <w:gridCol w:w="7710"/>
      </w:tblGrid>
      <w:tr w:rsidR="00A20920" w:rsidRPr="00D523C8" w14:paraId="605CCF7C" w14:textId="77777777" w:rsidTr="001C6C9E">
        <w:trPr>
          <w:trHeight w:val="113"/>
        </w:trPr>
        <w:tc>
          <w:tcPr>
            <w:tcW w:w="784" w:type="pct"/>
          </w:tcPr>
          <w:p w14:paraId="1050DB8D" w14:textId="77777777" w:rsidR="00456CAA" w:rsidRPr="00D523C8" w:rsidRDefault="00456CAA" w:rsidP="00D90522">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Primary code</w:t>
            </w:r>
          </w:p>
        </w:tc>
        <w:tc>
          <w:tcPr>
            <w:tcW w:w="4216" w:type="pct"/>
          </w:tcPr>
          <w:p w14:paraId="0903583D" w14:textId="77777777" w:rsidR="00456CAA" w:rsidRPr="00D523C8" w:rsidRDefault="00456CAA" w:rsidP="00D90522">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Secondary code</w:t>
            </w:r>
          </w:p>
        </w:tc>
      </w:tr>
      <w:tr w:rsidR="00A20920" w:rsidRPr="00D523C8" w14:paraId="2442B909" w14:textId="77777777" w:rsidTr="001C6C9E">
        <w:trPr>
          <w:trHeight w:val="113"/>
        </w:trPr>
        <w:tc>
          <w:tcPr>
            <w:tcW w:w="784" w:type="pct"/>
          </w:tcPr>
          <w:p w14:paraId="6390B225" w14:textId="77777777" w:rsidR="00456CAA" w:rsidRPr="00D523C8" w:rsidRDefault="00456CAA" w:rsidP="00D90522">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Basics</w:t>
            </w:r>
          </w:p>
        </w:tc>
        <w:tc>
          <w:tcPr>
            <w:tcW w:w="4216" w:type="pct"/>
          </w:tcPr>
          <w:p w14:paraId="410F1713" w14:textId="1BBA7084" w:rsidR="00456CAA" w:rsidRPr="00D523C8" w:rsidRDefault="00456CAA" w:rsidP="00D90522">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Policy document title:____</w:t>
            </w:r>
            <w:r w:rsidR="00BB67FA" w:rsidRPr="00D523C8">
              <w:rPr>
                <w:rFonts w:ascii="Times New Roman" w:hAnsi="Times New Roman" w:cs="Times New Roman"/>
                <w:sz w:val="20"/>
                <w:szCs w:val="20"/>
              </w:rPr>
              <w:t xml:space="preserve"> (in Chinese)</w:t>
            </w:r>
          </w:p>
          <w:p w14:paraId="0658E4CA" w14:textId="07BA5E68" w:rsidR="000440EA" w:rsidRPr="00D523C8" w:rsidRDefault="000440EA" w:rsidP="00BB67FA">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Policy document title:____</w:t>
            </w:r>
            <w:r w:rsidR="00BB67FA" w:rsidRPr="00D523C8">
              <w:rPr>
                <w:rFonts w:ascii="Times New Roman" w:hAnsi="Times New Roman" w:cs="Times New Roman"/>
                <w:sz w:val="20"/>
                <w:szCs w:val="20"/>
              </w:rPr>
              <w:t xml:space="preserve"> (</w:t>
            </w:r>
            <w:r w:rsidR="008265CB" w:rsidRPr="00D523C8">
              <w:rPr>
                <w:rFonts w:ascii="Times New Roman" w:hAnsi="Times New Roman" w:cs="Times New Roman"/>
                <w:sz w:val="20"/>
                <w:szCs w:val="20"/>
              </w:rPr>
              <w:t xml:space="preserve">translated </w:t>
            </w:r>
            <w:r w:rsidR="00BB67FA" w:rsidRPr="00D523C8">
              <w:rPr>
                <w:rFonts w:ascii="Times New Roman" w:hAnsi="Times New Roman" w:cs="Times New Roman"/>
                <w:sz w:val="20"/>
                <w:szCs w:val="20"/>
              </w:rPr>
              <w:t>in English)</w:t>
            </w:r>
          </w:p>
          <w:p w14:paraId="7AF50160" w14:textId="31C8FB2E" w:rsidR="00456CAA" w:rsidRPr="00D523C8" w:rsidRDefault="00456CAA" w:rsidP="00D90522">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Policy document</w:t>
            </w:r>
            <w:r w:rsidR="008D05F9" w:rsidRPr="00D523C8">
              <w:rPr>
                <w:rFonts w:ascii="Times New Roman" w:hAnsi="Times New Roman" w:cs="Times New Roman"/>
                <w:sz w:val="20"/>
                <w:szCs w:val="20"/>
              </w:rPr>
              <w:t xml:space="preserve"> No.</w:t>
            </w:r>
            <w:r w:rsidRPr="00D523C8">
              <w:rPr>
                <w:rFonts w:ascii="Times New Roman" w:hAnsi="Times New Roman" w:cs="Times New Roman"/>
                <w:sz w:val="20"/>
                <w:szCs w:val="20"/>
              </w:rPr>
              <w:t>: ____</w:t>
            </w:r>
          </w:p>
        </w:tc>
      </w:tr>
      <w:tr w:rsidR="00AC5E67" w:rsidRPr="00804BC8" w14:paraId="125F2D82" w14:textId="77777777" w:rsidTr="001C6C9E">
        <w:trPr>
          <w:trHeight w:val="113"/>
        </w:trPr>
        <w:tc>
          <w:tcPr>
            <w:tcW w:w="784" w:type="pct"/>
          </w:tcPr>
          <w:p w14:paraId="4BBA45EB" w14:textId="35B0D674"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Temporal aspects</w:t>
            </w:r>
          </w:p>
        </w:tc>
        <w:tc>
          <w:tcPr>
            <w:tcW w:w="4216" w:type="pct"/>
          </w:tcPr>
          <w:p w14:paraId="5C1FFFAC" w14:textId="77777777"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 xml:space="preserve">1) The policy document was published on </w:t>
            </w:r>
            <w:r w:rsidRPr="00D523C8">
              <w:rPr>
                <w:rFonts w:ascii="Times New Roman" w:hAnsi="Times New Roman" w:cs="Times New Roman"/>
                <w:sz w:val="20"/>
                <w:szCs w:val="20"/>
                <w:u w:val="single"/>
              </w:rPr>
              <w:t>dd/mm/</w:t>
            </w:r>
            <w:proofErr w:type="spellStart"/>
            <w:r w:rsidRPr="00D523C8">
              <w:rPr>
                <w:rFonts w:ascii="Times New Roman" w:hAnsi="Times New Roman" w:cs="Times New Roman"/>
                <w:sz w:val="20"/>
                <w:szCs w:val="20"/>
                <w:u w:val="single"/>
              </w:rPr>
              <w:t>yyyy</w:t>
            </w:r>
            <w:proofErr w:type="spellEnd"/>
          </w:p>
          <w:p w14:paraId="52A05A07" w14:textId="77777777" w:rsidR="00AC5E67" w:rsidRPr="00D523C8" w:rsidRDefault="00AC5E67" w:rsidP="00AC5E67">
            <w:pPr>
              <w:pStyle w:val="ListParagraph"/>
              <w:spacing w:line="480" w:lineRule="auto"/>
              <w:ind w:left="0"/>
              <w:rPr>
                <w:rFonts w:ascii="Times New Roman" w:hAnsi="Times New Roman" w:cs="Times New Roman"/>
                <w:sz w:val="20"/>
                <w:szCs w:val="20"/>
                <w:u w:val="single"/>
              </w:rPr>
            </w:pPr>
            <w:r w:rsidRPr="00D523C8">
              <w:rPr>
                <w:rFonts w:ascii="Times New Roman" w:hAnsi="Times New Roman" w:cs="Times New Roman"/>
                <w:sz w:val="20"/>
                <w:szCs w:val="20"/>
              </w:rPr>
              <w:t xml:space="preserve">2) The policy document was effective from </w:t>
            </w:r>
            <w:r w:rsidRPr="00D523C8">
              <w:rPr>
                <w:rFonts w:ascii="Times New Roman" w:hAnsi="Times New Roman" w:cs="Times New Roman"/>
                <w:sz w:val="20"/>
                <w:szCs w:val="20"/>
                <w:u w:val="single"/>
              </w:rPr>
              <w:t>dd/mm/</w:t>
            </w:r>
            <w:proofErr w:type="spellStart"/>
            <w:r w:rsidRPr="00D523C8">
              <w:rPr>
                <w:rFonts w:ascii="Times New Roman" w:hAnsi="Times New Roman" w:cs="Times New Roman"/>
                <w:sz w:val="20"/>
                <w:szCs w:val="20"/>
                <w:u w:val="single"/>
              </w:rPr>
              <w:t>yyyy</w:t>
            </w:r>
            <w:proofErr w:type="spellEnd"/>
          </w:p>
          <w:p w14:paraId="44191C4A" w14:textId="6CAA91A3"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lastRenderedPageBreak/>
              <w:t xml:space="preserve">3) The policy document was terminated/amended on </w:t>
            </w:r>
            <w:r w:rsidRPr="00D523C8">
              <w:rPr>
                <w:rFonts w:ascii="Times New Roman" w:hAnsi="Times New Roman" w:cs="Times New Roman"/>
                <w:sz w:val="20"/>
                <w:szCs w:val="20"/>
                <w:u w:val="single"/>
              </w:rPr>
              <w:t>dd/mm/</w:t>
            </w:r>
            <w:proofErr w:type="spellStart"/>
            <w:r w:rsidRPr="00D523C8">
              <w:rPr>
                <w:rFonts w:ascii="Times New Roman" w:hAnsi="Times New Roman" w:cs="Times New Roman"/>
                <w:sz w:val="20"/>
                <w:szCs w:val="20"/>
                <w:u w:val="single"/>
              </w:rPr>
              <w:t>yyyy</w:t>
            </w:r>
            <w:proofErr w:type="spellEnd"/>
            <w:r w:rsidRPr="00D523C8">
              <w:rPr>
                <w:rFonts w:ascii="Times New Roman" w:hAnsi="Times New Roman" w:cs="Times New Roman"/>
                <w:sz w:val="20"/>
                <w:szCs w:val="20"/>
              </w:rPr>
              <w:t xml:space="preserve"> </w:t>
            </w:r>
          </w:p>
        </w:tc>
      </w:tr>
      <w:tr w:rsidR="00A20920" w:rsidRPr="00D523C8" w14:paraId="170CF476" w14:textId="77777777" w:rsidTr="001C6C9E">
        <w:trPr>
          <w:trHeight w:val="113"/>
        </w:trPr>
        <w:tc>
          <w:tcPr>
            <w:tcW w:w="784" w:type="pct"/>
          </w:tcPr>
          <w:p w14:paraId="2EC15D2C" w14:textId="77777777"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lastRenderedPageBreak/>
              <w:t>Actors involved</w:t>
            </w:r>
          </w:p>
        </w:tc>
        <w:tc>
          <w:tcPr>
            <w:tcW w:w="4216" w:type="pct"/>
          </w:tcPr>
          <w:p w14:paraId="4B201EBA" w14:textId="77777777"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The government authority (or authorities) issuing the policy document is ____</w:t>
            </w:r>
          </w:p>
          <w:tbl>
            <w:tblPr>
              <w:tblW w:w="6877"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2865"/>
              <w:gridCol w:w="2525"/>
            </w:tblGrid>
            <w:tr w:rsidR="006E1210" w:rsidRPr="00D523C8" w14:paraId="2A266BAC" w14:textId="77777777" w:rsidTr="006E1210">
              <w:trPr>
                <w:trHeight w:val="20"/>
              </w:trPr>
              <w:tc>
                <w:tcPr>
                  <w:tcW w:w="1487" w:type="dxa"/>
                  <w:shd w:val="clear" w:color="000000" w:fill="D0CECE"/>
                  <w:noWrap/>
                  <w:vAlign w:val="center"/>
                  <w:hideMark/>
                </w:tcPr>
                <w:p w14:paraId="137566E7" w14:textId="77777777" w:rsidR="006E1210" w:rsidRPr="00D523C8" w:rsidRDefault="006E1210"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Label</w:t>
                  </w:r>
                </w:p>
              </w:tc>
              <w:tc>
                <w:tcPr>
                  <w:tcW w:w="2865" w:type="dxa"/>
                  <w:shd w:val="clear" w:color="000000" w:fill="D0CECE"/>
                  <w:noWrap/>
                  <w:vAlign w:val="center"/>
                  <w:hideMark/>
                </w:tcPr>
                <w:p w14:paraId="19F9744D" w14:textId="77777777" w:rsidR="006E1210" w:rsidRPr="00D523C8" w:rsidRDefault="006E1210"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Key word</w:t>
                  </w:r>
                </w:p>
              </w:tc>
              <w:tc>
                <w:tcPr>
                  <w:tcW w:w="2525" w:type="dxa"/>
                  <w:shd w:val="clear" w:color="000000" w:fill="D0CECE"/>
                  <w:noWrap/>
                  <w:vAlign w:val="center"/>
                  <w:hideMark/>
                </w:tcPr>
                <w:p w14:paraId="11EF7349" w14:textId="77777777" w:rsidR="006E1210" w:rsidRPr="00D523C8" w:rsidRDefault="006E1210"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Chinese name</w:t>
                  </w:r>
                </w:p>
              </w:tc>
            </w:tr>
            <w:tr w:rsidR="006E1210" w:rsidRPr="00D523C8" w14:paraId="01C5D448" w14:textId="77777777" w:rsidTr="006E1210">
              <w:trPr>
                <w:trHeight w:val="20"/>
              </w:trPr>
              <w:tc>
                <w:tcPr>
                  <w:tcW w:w="1487" w:type="dxa"/>
                  <w:shd w:val="clear" w:color="auto" w:fill="auto"/>
                  <w:noWrap/>
                  <w:vAlign w:val="center"/>
                  <w:hideMark/>
                </w:tcPr>
                <w:p w14:paraId="1EFD6926" w14:textId="77777777" w:rsidR="006E1210" w:rsidRPr="00D523C8" w:rsidRDefault="006E1210"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SC</w:t>
                  </w:r>
                </w:p>
              </w:tc>
              <w:tc>
                <w:tcPr>
                  <w:tcW w:w="2865" w:type="dxa"/>
                  <w:shd w:val="clear" w:color="auto" w:fill="auto"/>
                  <w:noWrap/>
                  <w:vAlign w:val="center"/>
                  <w:hideMark/>
                </w:tcPr>
                <w:p w14:paraId="7AB78B1A" w14:textId="77777777" w:rsidR="006E1210" w:rsidRPr="00D523C8" w:rsidRDefault="006E1210"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State Council</w:t>
                  </w:r>
                </w:p>
              </w:tc>
              <w:tc>
                <w:tcPr>
                  <w:tcW w:w="2525" w:type="dxa"/>
                  <w:shd w:val="clear" w:color="auto" w:fill="auto"/>
                  <w:noWrap/>
                  <w:vAlign w:val="center"/>
                  <w:hideMark/>
                </w:tcPr>
                <w:p w14:paraId="6E605C67" w14:textId="77777777" w:rsidR="006E1210" w:rsidRPr="00D523C8" w:rsidRDefault="006E1210" w:rsidP="001C6C9E">
                  <w:pPr>
                    <w:rPr>
                      <w:rFonts w:ascii="Times New Roman" w:hAnsi="Times New Roman"/>
                      <w:color w:val="000000"/>
                      <w:sz w:val="20"/>
                      <w:szCs w:val="20"/>
                      <w:lang w:val="en-US"/>
                    </w:rPr>
                  </w:pPr>
                  <w:r w:rsidRPr="00D523C8">
                    <w:rPr>
                      <w:rFonts w:ascii="Times New Roman" w:eastAsia="Microsoft JhengHei" w:hAnsi="Times New Roman"/>
                      <w:color w:val="000000"/>
                      <w:sz w:val="20"/>
                      <w:szCs w:val="20"/>
                      <w:lang w:val="en-US"/>
                    </w:rPr>
                    <w:t>国务院</w:t>
                  </w:r>
                </w:p>
              </w:tc>
            </w:tr>
            <w:tr w:rsidR="006E1210" w:rsidRPr="00D523C8" w14:paraId="56C5EAD8" w14:textId="77777777" w:rsidTr="006E1210">
              <w:trPr>
                <w:trHeight w:val="20"/>
              </w:trPr>
              <w:tc>
                <w:tcPr>
                  <w:tcW w:w="1487" w:type="dxa"/>
                  <w:shd w:val="clear" w:color="auto" w:fill="auto"/>
                  <w:noWrap/>
                  <w:vAlign w:val="center"/>
                  <w:hideMark/>
                </w:tcPr>
                <w:p w14:paraId="1D6D812F" w14:textId="77777777" w:rsidR="006E1210" w:rsidRPr="00D523C8" w:rsidRDefault="006E1210"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MF</w:t>
                  </w:r>
                </w:p>
              </w:tc>
              <w:tc>
                <w:tcPr>
                  <w:tcW w:w="2865" w:type="dxa"/>
                  <w:shd w:val="clear" w:color="auto" w:fill="auto"/>
                  <w:noWrap/>
                  <w:vAlign w:val="center"/>
                  <w:hideMark/>
                </w:tcPr>
                <w:p w14:paraId="0D01B64E" w14:textId="77777777" w:rsidR="006E1210" w:rsidRPr="00D523C8" w:rsidRDefault="006E1210"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Ministry of Finance</w:t>
                  </w:r>
                </w:p>
              </w:tc>
              <w:tc>
                <w:tcPr>
                  <w:tcW w:w="2525" w:type="dxa"/>
                  <w:shd w:val="clear" w:color="auto" w:fill="auto"/>
                  <w:noWrap/>
                  <w:vAlign w:val="center"/>
                  <w:hideMark/>
                </w:tcPr>
                <w:p w14:paraId="15BB8ABB" w14:textId="77777777" w:rsidR="006E1210" w:rsidRPr="00D523C8" w:rsidRDefault="006E1210" w:rsidP="001C6C9E">
                  <w:pPr>
                    <w:rPr>
                      <w:rFonts w:ascii="Times New Roman" w:hAnsi="Times New Roman"/>
                      <w:color w:val="000000"/>
                      <w:sz w:val="20"/>
                      <w:szCs w:val="20"/>
                      <w:lang w:val="en-US"/>
                    </w:rPr>
                  </w:pPr>
                  <w:r w:rsidRPr="00D523C8">
                    <w:rPr>
                      <w:rFonts w:ascii="Times New Roman" w:eastAsia="Microsoft JhengHei" w:hAnsi="Times New Roman"/>
                      <w:color w:val="000000"/>
                      <w:sz w:val="20"/>
                      <w:szCs w:val="20"/>
                      <w:lang w:val="en-US"/>
                    </w:rPr>
                    <w:t>财政部</w:t>
                  </w:r>
                </w:p>
              </w:tc>
            </w:tr>
            <w:tr w:rsidR="006E1210" w:rsidRPr="00D523C8" w14:paraId="6231136D" w14:textId="77777777" w:rsidTr="006E1210">
              <w:trPr>
                <w:trHeight w:val="20"/>
              </w:trPr>
              <w:tc>
                <w:tcPr>
                  <w:tcW w:w="1487" w:type="dxa"/>
                  <w:shd w:val="clear" w:color="auto" w:fill="auto"/>
                  <w:noWrap/>
                  <w:vAlign w:val="center"/>
                  <w:hideMark/>
                </w:tcPr>
                <w:p w14:paraId="01CF422E" w14:textId="77777777" w:rsidR="006E1210" w:rsidRPr="00D523C8" w:rsidRDefault="006E1210"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FMC</w:t>
                  </w:r>
                </w:p>
              </w:tc>
              <w:tc>
                <w:tcPr>
                  <w:tcW w:w="2865" w:type="dxa"/>
                  <w:shd w:val="clear" w:color="auto" w:fill="auto"/>
                  <w:noWrap/>
                  <w:vAlign w:val="center"/>
                  <w:hideMark/>
                </w:tcPr>
                <w:p w14:paraId="072A8CCC" w14:textId="77777777" w:rsidR="006E1210" w:rsidRPr="00D523C8" w:rsidRDefault="006E1210"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Former Ministry of Construction</w:t>
                  </w:r>
                </w:p>
              </w:tc>
              <w:tc>
                <w:tcPr>
                  <w:tcW w:w="2525" w:type="dxa"/>
                  <w:shd w:val="clear" w:color="auto" w:fill="auto"/>
                  <w:noWrap/>
                  <w:vAlign w:val="center"/>
                  <w:hideMark/>
                </w:tcPr>
                <w:p w14:paraId="0668166D" w14:textId="77777777" w:rsidR="006E1210" w:rsidRPr="00D523C8" w:rsidRDefault="006E1210" w:rsidP="001C6C9E">
                  <w:pPr>
                    <w:rPr>
                      <w:rFonts w:ascii="Times New Roman" w:hAnsi="Times New Roman"/>
                      <w:color w:val="000000"/>
                      <w:sz w:val="20"/>
                      <w:szCs w:val="20"/>
                      <w:lang w:val="en-US"/>
                    </w:rPr>
                  </w:pPr>
                  <w:r w:rsidRPr="00D523C8">
                    <w:rPr>
                      <w:rFonts w:ascii="Times New Roman" w:eastAsia="Microsoft JhengHei" w:hAnsi="Times New Roman"/>
                      <w:color w:val="000000"/>
                      <w:sz w:val="20"/>
                      <w:szCs w:val="20"/>
                      <w:lang w:val="en-US"/>
                    </w:rPr>
                    <w:t>建设部</w:t>
                  </w:r>
                  <w:r w:rsidRPr="00D523C8">
                    <w:rPr>
                      <w:rFonts w:ascii="Times New Roman" w:hAnsi="Times New Roman"/>
                      <w:color w:val="000000"/>
                      <w:sz w:val="20"/>
                      <w:szCs w:val="20"/>
                      <w:lang w:val="en-US"/>
                    </w:rPr>
                    <w:t>(</w:t>
                  </w:r>
                  <w:r w:rsidRPr="00D523C8">
                    <w:rPr>
                      <w:rFonts w:ascii="Times New Roman" w:eastAsia="Microsoft JhengHei" w:hAnsi="Times New Roman"/>
                      <w:color w:val="000000"/>
                      <w:sz w:val="20"/>
                      <w:szCs w:val="20"/>
                      <w:lang w:val="en-US"/>
                    </w:rPr>
                    <w:t>已撤销</w:t>
                  </w:r>
                  <w:r w:rsidRPr="00D523C8">
                    <w:rPr>
                      <w:rFonts w:ascii="Times New Roman" w:hAnsi="Times New Roman"/>
                      <w:color w:val="000000"/>
                      <w:sz w:val="20"/>
                      <w:szCs w:val="20"/>
                      <w:lang w:val="en-US"/>
                    </w:rPr>
                    <w:t>)</w:t>
                  </w:r>
                </w:p>
              </w:tc>
            </w:tr>
            <w:tr w:rsidR="006E4BB9" w:rsidRPr="00D523C8" w14:paraId="2AB33C69" w14:textId="77777777" w:rsidTr="006E1210">
              <w:trPr>
                <w:trHeight w:val="20"/>
              </w:trPr>
              <w:tc>
                <w:tcPr>
                  <w:tcW w:w="1487" w:type="dxa"/>
                  <w:shd w:val="clear" w:color="auto" w:fill="auto"/>
                  <w:noWrap/>
                  <w:vAlign w:val="center"/>
                  <w:hideMark/>
                </w:tcPr>
                <w:p w14:paraId="0FC32441" w14:textId="4A33F189"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FSEP</w:t>
                  </w:r>
                  <w:r>
                    <w:rPr>
                      <w:rFonts w:ascii="Times New Roman" w:hAnsi="Times New Roman"/>
                      <w:color w:val="000000"/>
                      <w:sz w:val="20"/>
                      <w:szCs w:val="20"/>
                      <w:lang w:val="en-US"/>
                    </w:rPr>
                    <w:t>A</w:t>
                  </w:r>
                </w:p>
              </w:tc>
              <w:tc>
                <w:tcPr>
                  <w:tcW w:w="2865" w:type="dxa"/>
                  <w:shd w:val="clear" w:color="auto" w:fill="auto"/>
                  <w:noWrap/>
                  <w:vAlign w:val="center"/>
                  <w:hideMark/>
                </w:tcPr>
                <w:p w14:paraId="4C529486" w14:textId="45C5FD72"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Former State Environmental Protection Administration</w:t>
                  </w:r>
                </w:p>
              </w:tc>
              <w:tc>
                <w:tcPr>
                  <w:tcW w:w="2525" w:type="dxa"/>
                  <w:shd w:val="clear" w:color="auto" w:fill="auto"/>
                  <w:noWrap/>
                  <w:vAlign w:val="center"/>
                  <w:hideMark/>
                </w:tcPr>
                <w:p w14:paraId="1718BA64" w14:textId="5798CEBC" w:rsidR="006E4BB9" w:rsidRPr="00D523C8" w:rsidRDefault="006E4BB9" w:rsidP="001C6C9E">
                  <w:pPr>
                    <w:rPr>
                      <w:rFonts w:ascii="Times New Roman" w:hAnsi="Times New Roman"/>
                      <w:color w:val="000000"/>
                      <w:sz w:val="20"/>
                      <w:szCs w:val="20"/>
                      <w:lang w:val="en-US"/>
                    </w:rPr>
                  </w:pPr>
                  <w:r w:rsidRPr="00D523C8">
                    <w:rPr>
                      <w:rFonts w:ascii="Times New Roman" w:eastAsia="Microsoft JhengHei" w:hAnsi="Times New Roman"/>
                      <w:color w:val="000000"/>
                      <w:sz w:val="20"/>
                      <w:szCs w:val="20"/>
                      <w:lang w:val="en-US"/>
                    </w:rPr>
                    <w:t>国家环境保护</w:t>
                  </w:r>
                  <w:r>
                    <w:rPr>
                      <w:rFonts w:ascii="Times New Roman" w:eastAsia="Microsoft JhengHei" w:hAnsi="Times New Roman" w:hint="eastAsia"/>
                      <w:color w:val="000000"/>
                      <w:sz w:val="20"/>
                      <w:szCs w:val="20"/>
                      <w:lang w:val="en-US"/>
                    </w:rPr>
                    <w:t>局</w:t>
                  </w:r>
                  <w:r>
                    <w:rPr>
                      <w:rFonts w:ascii="Times New Roman" w:eastAsia="Microsoft JhengHei" w:hAnsi="Times New Roman" w:hint="eastAsia"/>
                      <w:color w:val="000000"/>
                      <w:sz w:val="20"/>
                      <w:szCs w:val="20"/>
                      <w:lang w:val="en-US"/>
                    </w:rPr>
                    <w:t>/</w:t>
                  </w:r>
                  <w:r w:rsidRPr="00D523C8">
                    <w:rPr>
                      <w:rFonts w:ascii="Times New Roman" w:eastAsia="Microsoft JhengHei" w:hAnsi="Times New Roman"/>
                      <w:color w:val="000000"/>
                      <w:sz w:val="20"/>
                      <w:szCs w:val="20"/>
                      <w:lang w:val="en-US"/>
                    </w:rPr>
                    <w:t>总局</w:t>
                  </w:r>
                </w:p>
              </w:tc>
            </w:tr>
            <w:tr w:rsidR="006E4BB9" w:rsidRPr="00D523C8" w14:paraId="2FAA5750" w14:textId="77777777" w:rsidTr="006E1210">
              <w:trPr>
                <w:trHeight w:val="20"/>
              </w:trPr>
              <w:tc>
                <w:tcPr>
                  <w:tcW w:w="1487" w:type="dxa"/>
                  <w:shd w:val="clear" w:color="auto" w:fill="auto"/>
                  <w:noWrap/>
                  <w:vAlign w:val="center"/>
                  <w:hideMark/>
                </w:tcPr>
                <w:p w14:paraId="392156D2" w14:textId="5D0ECCCB"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FSACP</w:t>
                  </w:r>
                </w:p>
              </w:tc>
              <w:tc>
                <w:tcPr>
                  <w:tcW w:w="2865" w:type="dxa"/>
                  <w:shd w:val="clear" w:color="auto" w:fill="auto"/>
                  <w:noWrap/>
                  <w:vAlign w:val="center"/>
                  <w:hideMark/>
                </w:tcPr>
                <w:p w14:paraId="4F0C857D" w14:textId="1BD3731F"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Former State Administration of Commodity Prices</w:t>
                  </w:r>
                </w:p>
              </w:tc>
              <w:tc>
                <w:tcPr>
                  <w:tcW w:w="2525" w:type="dxa"/>
                  <w:shd w:val="clear" w:color="auto" w:fill="auto"/>
                  <w:noWrap/>
                  <w:vAlign w:val="center"/>
                  <w:hideMark/>
                </w:tcPr>
                <w:p w14:paraId="2E69E607" w14:textId="19F42AE8" w:rsidR="006E4BB9" w:rsidRPr="00D523C8" w:rsidRDefault="006E4BB9" w:rsidP="001C6C9E">
                  <w:pPr>
                    <w:rPr>
                      <w:rFonts w:ascii="Times New Roman" w:hAnsi="Times New Roman"/>
                      <w:color w:val="000000"/>
                      <w:sz w:val="20"/>
                      <w:szCs w:val="20"/>
                      <w:lang w:val="en-US"/>
                    </w:rPr>
                  </w:pPr>
                  <w:r w:rsidRPr="00D523C8">
                    <w:rPr>
                      <w:rFonts w:ascii="Times New Roman" w:eastAsia="Microsoft JhengHei" w:hAnsi="Times New Roman"/>
                      <w:color w:val="000000"/>
                      <w:sz w:val="20"/>
                      <w:szCs w:val="20"/>
                      <w:lang w:val="en-US"/>
                    </w:rPr>
                    <w:t>国家物价局</w:t>
                  </w:r>
                </w:p>
              </w:tc>
            </w:tr>
            <w:tr w:rsidR="006E4BB9" w:rsidRPr="00D523C8" w14:paraId="00CA558A" w14:textId="77777777" w:rsidTr="006E1210">
              <w:trPr>
                <w:trHeight w:val="20"/>
              </w:trPr>
              <w:tc>
                <w:tcPr>
                  <w:tcW w:w="1487" w:type="dxa"/>
                  <w:shd w:val="clear" w:color="auto" w:fill="auto"/>
                  <w:noWrap/>
                  <w:vAlign w:val="center"/>
                  <w:hideMark/>
                </w:tcPr>
                <w:p w14:paraId="34E45774" w14:textId="471EB410"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FSPC</w:t>
                  </w:r>
                </w:p>
              </w:tc>
              <w:tc>
                <w:tcPr>
                  <w:tcW w:w="2865" w:type="dxa"/>
                  <w:shd w:val="clear" w:color="auto" w:fill="auto"/>
                  <w:noWrap/>
                  <w:vAlign w:val="center"/>
                  <w:hideMark/>
                </w:tcPr>
                <w:p w14:paraId="36FBCA3E" w14:textId="7FEEA2F9"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Former State Planning Commission</w:t>
                  </w:r>
                </w:p>
              </w:tc>
              <w:tc>
                <w:tcPr>
                  <w:tcW w:w="2525" w:type="dxa"/>
                  <w:shd w:val="clear" w:color="auto" w:fill="auto"/>
                  <w:noWrap/>
                  <w:vAlign w:val="center"/>
                  <w:hideMark/>
                </w:tcPr>
                <w:p w14:paraId="748A82D7" w14:textId="00EF3082" w:rsidR="006E4BB9" w:rsidRPr="00D523C8" w:rsidRDefault="006E4BB9" w:rsidP="001C6C9E">
                  <w:pPr>
                    <w:rPr>
                      <w:rFonts w:ascii="Times New Roman" w:hAnsi="Times New Roman"/>
                      <w:color w:val="000000"/>
                      <w:sz w:val="20"/>
                      <w:szCs w:val="20"/>
                      <w:lang w:val="en-US"/>
                    </w:rPr>
                  </w:pPr>
                  <w:r w:rsidRPr="00D523C8">
                    <w:rPr>
                      <w:rFonts w:ascii="Times New Roman" w:eastAsia="Microsoft JhengHei" w:hAnsi="Times New Roman"/>
                      <w:color w:val="000000"/>
                      <w:sz w:val="20"/>
                      <w:szCs w:val="20"/>
                      <w:lang w:val="en-US"/>
                    </w:rPr>
                    <w:t>国家计划委员会</w:t>
                  </w:r>
                </w:p>
              </w:tc>
            </w:tr>
            <w:tr w:rsidR="006E4BB9" w:rsidRPr="00D523C8" w14:paraId="26BD58CA" w14:textId="77777777" w:rsidTr="006E1210">
              <w:trPr>
                <w:trHeight w:val="20"/>
              </w:trPr>
              <w:tc>
                <w:tcPr>
                  <w:tcW w:w="1487" w:type="dxa"/>
                  <w:shd w:val="clear" w:color="auto" w:fill="auto"/>
                  <w:noWrap/>
                  <w:vAlign w:val="center"/>
                  <w:hideMark/>
                </w:tcPr>
                <w:p w14:paraId="6D40441B" w14:textId="73249D0D"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FSDPC</w:t>
                  </w:r>
                </w:p>
              </w:tc>
              <w:tc>
                <w:tcPr>
                  <w:tcW w:w="2865" w:type="dxa"/>
                  <w:shd w:val="clear" w:color="auto" w:fill="auto"/>
                  <w:noWrap/>
                  <w:vAlign w:val="center"/>
                  <w:hideMark/>
                </w:tcPr>
                <w:p w14:paraId="5581A9C2" w14:textId="5EA9F3E8"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 xml:space="preserve">Former State Development and Planning Commission </w:t>
                  </w:r>
                </w:p>
              </w:tc>
              <w:tc>
                <w:tcPr>
                  <w:tcW w:w="2525" w:type="dxa"/>
                  <w:shd w:val="clear" w:color="auto" w:fill="auto"/>
                  <w:noWrap/>
                  <w:vAlign w:val="center"/>
                  <w:hideMark/>
                </w:tcPr>
                <w:p w14:paraId="6A5A56B5" w14:textId="38FEFE26" w:rsidR="006E4BB9" w:rsidRPr="00D523C8" w:rsidRDefault="006E4BB9" w:rsidP="001C6C9E">
                  <w:pPr>
                    <w:rPr>
                      <w:rFonts w:ascii="Times New Roman" w:hAnsi="Times New Roman"/>
                      <w:color w:val="000000"/>
                      <w:sz w:val="20"/>
                      <w:szCs w:val="20"/>
                      <w:lang w:val="en-US"/>
                    </w:rPr>
                  </w:pPr>
                  <w:r w:rsidRPr="00D523C8">
                    <w:rPr>
                      <w:rFonts w:ascii="Times New Roman" w:eastAsia="Microsoft JhengHei" w:hAnsi="Times New Roman"/>
                      <w:color w:val="000000"/>
                      <w:sz w:val="20"/>
                      <w:szCs w:val="20"/>
                      <w:lang w:val="en-US"/>
                    </w:rPr>
                    <w:t>国家发展计划委员会</w:t>
                  </w:r>
                </w:p>
              </w:tc>
            </w:tr>
            <w:tr w:rsidR="006E4BB9" w:rsidRPr="00D523C8" w14:paraId="59818A41" w14:textId="77777777" w:rsidTr="006E1210">
              <w:trPr>
                <w:trHeight w:val="20"/>
              </w:trPr>
              <w:tc>
                <w:tcPr>
                  <w:tcW w:w="1487" w:type="dxa"/>
                  <w:shd w:val="clear" w:color="auto" w:fill="auto"/>
                  <w:noWrap/>
                  <w:vAlign w:val="center"/>
                  <w:hideMark/>
                </w:tcPr>
                <w:p w14:paraId="4903FA99" w14:textId="2968BCBE"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FSETC</w:t>
                  </w:r>
                </w:p>
              </w:tc>
              <w:tc>
                <w:tcPr>
                  <w:tcW w:w="2865" w:type="dxa"/>
                  <w:shd w:val="clear" w:color="auto" w:fill="auto"/>
                  <w:noWrap/>
                  <w:vAlign w:val="center"/>
                  <w:hideMark/>
                </w:tcPr>
                <w:p w14:paraId="38B1A8C8" w14:textId="304590EE"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 xml:space="preserve">Former State </w:t>
                  </w:r>
                  <w:r>
                    <w:rPr>
                      <w:rFonts w:ascii="Times New Roman" w:hAnsi="Times New Roman"/>
                      <w:color w:val="000000"/>
                      <w:sz w:val="20"/>
                      <w:szCs w:val="20"/>
                      <w:lang w:val="en-US"/>
                    </w:rPr>
                    <w:t>E</w:t>
                  </w:r>
                  <w:r w:rsidRPr="00D523C8">
                    <w:rPr>
                      <w:rFonts w:ascii="Times New Roman" w:hAnsi="Times New Roman"/>
                      <w:color w:val="000000"/>
                      <w:sz w:val="20"/>
                      <w:szCs w:val="20"/>
                      <w:lang w:val="en-US"/>
                    </w:rPr>
                    <w:t xml:space="preserve">conomic and </w:t>
                  </w:r>
                  <w:r>
                    <w:rPr>
                      <w:rFonts w:ascii="Times New Roman" w:hAnsi="Times New Roman"/>
                      <w:color w:val="000000"/>
                      <w:sz w:val="20"/>
                      <w:szCs w:val="20"/>
                      <w:lang w:val="en-US"/>
                    </w:rPr>
                    <w:t>T</w:t>
                  </w:r>
                  <w:r w:rsidRPr="00D523C8">
                    <w:rPr>
                      <w:rFonts w:ascii="Times New Roman" w:hAnsi="Times New Roman"/>
                      <w:color w:val="000000"/>
                      <w:sz w:val="20"/>
                      <w:szCs w:val="20"/>
                      <w:lang w:val="en-US"/>
                    </w:rPr>
                    <w:t>rade Commission</w:t>
                  </w:r>
                </w:p>
              </w:tc>
              <w:tc>
                <w:tcPr>
                  <w:tcW w:w="2525" w:type="dxa"/>
                  <w:shd w:val="clear" w:color="auto" w:fill="auto"/>
                  <w:noWrap/>
                  <w:vAlign w:val="center"/>
                  <w:hideMark/>
                </w:tcPr>
                <w:p w14:paraId="12A4DB66" w14:textId="77D5D33F" w:rsidR="006E4BB9" w:rsidRPr="00D523C8" w:rsidRDefault="006E4BB9" w:rsidP="001C6C9E">
                  <w:pPr>
                    <w:rPr>
                      <w:rFonts w:ascii="Times New Roman" w:hAnsi="Times New Roman"/>
                      <w:color w:val="000000"/>
                      <w:sz w:val="20"/>
                      <w:szCs w:val="20"/>
                      <w:lang w:val="en-US"/>
                    </w:rPr>
                  </w:pPr>
                  <w:r w:rsidRPr="00D523C8">
                    <w:rPr>
                      <w:rFonts w:ascii="Times New Roman" w:eastAsia="Microsoft JhengHei" w:hAnsi="Times New Roman"/>
                      <w:color w:val="000000"/>
                      <w:sz w:val="20"/>
                      <w:szCs w:val="20"/>
                      <w:lang w:val="en-US"/>
                    </w:rPr>
                    <w:t>国家经济贸易委员会</w:t>
                  </w:r>
                </w:p>
              </w:tc>
            </w:tr>
            <w:tr w:rsidR="006E4BB9" w:rsidRPr="00D523C8" w14:paraId="568CA375" w14:textId="77777777" w:rsidTr="006E1210">
              <w:trPr>
                <w:trHeight w:val="20"/>
              </w:trPr>
              <w:tc>
                <w:tcPr>
                  <w:tcW w:w="1487" w:type="dxa"/>
                  <w:shd w:val="clear" w:color="auto" w:fill="auto"/>
                  <w:noWrap/>
                  <w:vAlign w:val="center"/>
                  <w:hideMark/>
                </w:tcPr>
                <w:p w14:paraId="59A1D446" w14:textId="61162174"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MOST</w:t>
                  </w:r>
                </w:p>
              </w:tc>
              <w:tc>
                <w:tcPr>
                  <w:tcW w:w="2865" w:type="dxa"/>
                  <w:shd w:val="clear" w:color="auto" w:fill="auto"/>
                  <w:noWrap/>
                  <w:vAlign w:val="center"/>
                  <w:hideMark/>
                </w:tcPr>
                <w:p w14:paraId="30597A84" w14:textId="0911D19B"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Ministry of Science and Technology </w:t>
                  </w:r>
                </w:p>
              </w:tc>
              <w:tc>
                <w:tcPr>
                  <w:tcW w:w="2525" w:type="dxa"/>
                  <w:shd w:val="clear" w:color="auto" w:fill="auto"/>
                  <w:noWrap/>
                  <w:vAlign w:val="center"/>
                  <w:hideMark/>
                </w:tcPr>
                <w:p w14:paraId="73BDE1CE" w14:textId="0BA2E5CD" w:rsidR="006E4BB9" w:rsidRPr="00D523C8" w:rsidRDefault="006E4BB9" w:rsidP="001C6C9E">
                  <w:pPr>
                    <w:rPr>
                      <w:rFonts w:ascii="Times New Roman" w:hAnsi="Times New Roman"/>
                      <w:color w:val="000000"/>
                      <w:sz w:val="20"/>
                      <w:szCs w:val="20"/>
                      <w:lang w:val="en-US"/>
                    </w:rPr>
                  </w:pPr>
                  <w:r w:rsidRPr="00D523C8">
                    <w:rPr>
                      <w:rFonts w:ascii="Times New Roman" w:eastAsia="Microsoft JhengHei" w:hAnsi="Times New Roman"/>
                      <w:color w:val="000000"/>
                      <w:sz w:val="20"/>
                      <w:szCs w:val="20"/>
                      <w:lang w:val="en-US"/>
                    </w:rPr>
                    <w:t>科技部</w:t>
                  </w:r>
                </w:p>
              </w:tc>
            </w:tr>
            <w:tr w:rsidR="006E4BB9" w:rsidRPr="00D523C8" w14:paraId="68F9628A" w14:textId="77777777" w:rsidTr="006E1210">
              <w:trPr>
                <w:trHeight w:val="20"/>
              </w:trPr>
              <w:tc>
                <w:tcPr>
                  <w:tcW w:w="1487" w:type="dxa"/>
                  <w:shd w:val="clear" w:color="auto" w:fill="auto"/>
                  <w:noWrap/>
                  <w:vAlign w:val="center"/>
                  <w:hideMark/>
                </w:tcPr>
                <w:p w14:paraId="6C6790A6" w14:textId="0356AFAF"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MFA</w:t>
                  </w:r>
                </w:p>
              </w:tc>
              <w:tc>
                <w:tcPr>
                  <w:tcW w:w="2865" w:type="dxa"/>
                  <w:shd w:val="clear" w:color="auto" w:fill="auto"/>
                  <w:noWrap/>
                  <w:vAlign w:val="center"/>
                  <w:hideMark/>
                </w:tcPr>
                <w:p w14:paraId="5C2525A4" w14:textId="2F9E879E"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Ministry of Foreign Affairs</w:t>
                  </w:r>
                </w:p>
              </w:tc>
              <w:tc>
                <w:tcPr>
                  <w:tcW w:w="2525" w:type="dxa"/>
                  <w:shd w:val="clear" w:color="auto" w:fill="auto"/>
                  <w:noWrap/>
                  <w:vAlign w:val="center"/>
                  <w:hideMark/>
                </w:tcPr>
                <w:p w14:paraId="1821EFCE" w14:textId="6FC59754" w:rsidR="006E4BB9" w:rsidRPr="00D523C8" w:rsidRDefault="006E4BB9" w:rsidP="001C6C9E">
                  <w:pPr>
                    <w:rPr>
                      <w:rFonts w:ascii="Times New Roman" w:hAnsi="Times New Roman"/>
                      <w:color w:val="000000"/>
                      <w:sz w:val="20"/>
                      <w:szCs w:val="20"/>
                      <w:lang w:val="en-US"/>
                    </w:rPr>
                  </w:pPr>
                  <w:r w:rsidRPr="00D523C8">
                    <w:rPr>
                      <w:rFonts w:ascii="Times New Roman" w:eastAsia="Microsoft JhengHei" w:hAnsi="Times New Roman"/>
                      <w:sz w:val="20"/>
                      <w:szCs w:val="20"/>
                      <w:lang w:val="en-US"/>
                    </w:rPr>
                    <w:t>外交部</w:t>
                  </w:r>
                </w:p>
              </w:tc>
            </w:tr>
            <w:tr w:rsidR="006E4BB9" w:rsidRPr="00D523C8" w14:paraId="0874145C" w14:textId="77777777" w:rsidTr="006E1210">
              <w:trPr>
                <w:trHeight w:val="20"/>
              </w:trPr>
              <w:tc>
                <w:tcPr>
                  <w:tcW w:w="1487" w:type="dxa"/>
                  <w:shd w:val="clear" w:color="auto" w:fill="auto"/>
                  <w:noWrap/>
                  <w:vAlign w:val="center"/>
                  <w:hideMark/>
                </w:tcPr>
                <w:p w14:paraId="42462485" w14:textId="0A4B770B"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NPCSC</w:t>
                  </w:r>
                </w:p>
              </w:tc>
              <w:tc>
                <w:tcPr>
                  <w:tcW w:w="2865" w:type="dxa"/>
                  <w:shd w:val="clear" w:color="auto" w:fill="auto"/>
                  <w:noWrap/>
                  <w:vAlign w:val="center"/>
                  <w:hideMark/>
                </w:tcPr>
                <w:p w14:paraId="17F3DABC" w14:textId="0C22887D"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Standing Committee of the National People's Congress</w:t>
                  </w:r>
                </w:p>
              </w:tc>
              <w:tc>
                <w:tcPr>
                  <w:tcW w:w="2525" w:type="dxa"/>
                  <w:shd w:val="clear" w:color="auto" w:fill="auto"/>
                  <w:noWrap/>
                  <w:vAlign w:val="center"/>
                  <w:hideMark/>
                </w:tcPr>
                <w:p w14:paraId="011B1EAA" w14:textId="23DACC53"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全国人民代表大会常委会</w:t>
                  </w:r>
                </w:p>
              </w:tc>
            </w:tr>
            <w:tr w:rsidR="006E4BB9" w:rsidRPr="00D523C8" w14:paraId="62F8D37F" w14:textId="77777777" w:rsidTr="006E1210">
              <w:trPr>
                <w:trHeight w:val="20"/>
              </w:trPr>
              <w:tc>
                <w:tcPr>
                  <w:tcW w:w="1487" w:type="dxa"/>
                  <w:shd w:val="clear" w:color="auto" w:fill="auto"/>
                  <w:noWrap/>
                  <w:vAlign w:val="center"/>
                  <w:hideMark/>
                </w:tcPr>
                <w:p w14:paraId="683DD487" w14:textId="1BDD4660"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FSERC</w:t>
                  </w:r>
                </w:p>
              </w:tc>
              <w:tc>
                <w:tcPr>
                  <w:tcW w:w="2865" w:type="dxa"/>
                  <w:shd w:val="clear" w:color="auto" w:fill="auto"/>
                  <w:noWrap/>
                  <w:vAlign w:val="center"/>
                  <w:hideMark/>
                </w:tcPr>
                <w:p w14:paraId="270F32D9" w14:textId="12E18986"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Former State Electricity Regulatory Commission</w:t>
                  </w:r>
                </w:p>
              </w:tc>
              <w:tc>
                <w:tcPr>
                  <w:tcW w:w="2525" w:type="dxa"/>
                  <w:shd w:val="clear" w:color="auto" w:fill="auto"/>
                  <w:noWrap/>
                  <w:vAlign w:val="center"/>
                  <w:hideMark/>
                </w:tcPr>
                <w:p w14:paraId="0D1E6AEE" w14:textId="71659971"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国家电力监管委员会</w:t>
                  </w:r>
                </w:p>
              </w:tc>
            </w:tr>
            <w:tr w:rsidR="006E4BB9" w:rsidRPr="00D523C8" w14:paraId="3953EA41" w14:textId="77777777" w:rsidTr="006E1210">
              <w:trPr>
                <w:trHeight w:val="20"/>
              </w:trPr>
              <w:tc>
                <w:tcPr>
                  <w:tcW w:w="1487" w:type="dxa"/>
                  <w:shd w:val="clear" w:color="auto" w:fill="auto"/>
                  <w:noWrap/>
                  <w:vAlign w:val="center"/>
                  <w:hideMark/>
                </w:tcPr>
                <w:p w14:paraId="7ED6A153" w14:textId="61BC73FE"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FMA</w:t>
                  </w:r>
                </w:p>
              </w:tc>
              <w:tc>
                <w:tcPr>
                  <w:tcW w:w="2865" w:type="dxa"/>
                  <w:shd w:val="clear" w:color="auto" w:fill="auto"/>
                  <w:vAlign w:val="center"/>
                  <w:hideMark/>
                </w:tcPr>
                <w:p w14:paraId="0AF7E677" w14:textId="15BABF80"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Former Ministry of Agriculture</w:t>
                  </w:r>
                </w:p>
              </w:tc>
              <w:tc>
                <w:tcPr>
                  <w:tcW w:w="2525" w:type="dxa"/>
                  <w:shd w:val="clear" w:color="auto" w:fill="auto"/>
                  <w:noWrap/>
                  <w:vAlign w:val="center"/>
                  <w:hideMark/>
                </w:tcPr>
                <w:p w14:paraId="635119B4" w14:textId="38515E61"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农业部</w:t>
                  </w:r>
                </w:p>
              </w:tc>
            </w:tr>
            <w:tr w:rsidR="006E4BB9" w:rsidRPr="00D523C8" w14:paraId="101B5AD5" w14:textId="77777777" w:rsidTr="006E1210">
              <w:trPr>
                <w:trHeight w:val="20"/>
              </w:trPr>
              <w:tc>
                <w:tcPr>
                  <w:tcW w:w="1487" w:type="dxa"/>
                  <w:shd w:val="clear" w:color="auto" w:fill="auto"/>
                  <w:noWrap/>
                  <w:vAlign w:val="center"/>
                  <w:hideMark/>
                </w:tcPr>
                <w:p w14:paraId="634E8D9D" w14:textId="249E70A7"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CMA</w:t>
                  </w:r>
                </w:p>
              </w:tc>
              <w:tc>
                <w:tcPr>
                  <w:tcW w:w="2865" w:type="dxa"/>
                  <w:shd w:val="clear" w:color="auto" w:fill="auto"/>
                  <w:noWrap/>
                  <w:vAlign w:val="center"/>
                  <w:hideMark/>
                </w:tcPr>
                <w:p w14:paraId="579B9D3F" w14:textId="6D548018"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China Meteorological Administration</w:t>
                  </w:r>
                </w:p>
              </w:tc>
              <w:tc>
                <w:tcPr>
                  <w:tcW w:w="2525" w:type="dxa"/>
                  <w:shd w:val="clear" w:color="auto" w:fill="auto"/>
                  <w:noWrap/>
                  <w:vAlign w:val="center"/>
                  <w:hideMark/>
                </w:tcPr>
                <w:p w14:paraId="07EC523B" w14:textId="5DC31938"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中国气象局</w:t>
                  </w:r>
                </w:p>
              </w:tc>
            </w:tr>
            <w:tr w:rsidR="006E4BB9" w:rsidRPr="00D523C8" w14:paraId="3B10D612" w14:textId="77777777" w:rsidTr="006E1210">
              <w:trPr>
                <w:trHeight w:val="20"/>
              </w:trPr>
              <w:tc>
                <w:tcPr>
                  <w:tcW w:w="1487" w:type="dxa"/>
                  <w:shd w:val="clear" w:color="auto" w:fill="auto"/>
                  <w:noWrap/>
                  <w:vAlign w:val="center"/>
                  <w:hideMark/>
                </w:tcPr>
                <w:p w14:paraId="0478561B" w14:textId="20AB66F7"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FMEP</w:t>
                  </w:r>
                </w:p>
              </w:tc>
              <w:tc>
                <w:tcPr>
                  <w:tcW w:w="2865" w:type="dxa"/>
                  <w:shd w:val="clear" w:color="auto" w:fill="auto"/>
                  <w:noWrap/>
                  <w:vAlign w:val="center"/>
                  <w:hideMark/>
                </w:tcPr>
                <w:p w14:paraId="178BEA2E" w14:textId="6A99E19A"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Ministry of Environmental Protection</w:t>
                  </w:r>
                </w:p>
              </w:tc>
              <w:tc>
                <w:tcPr>
                  <w:tcW w:w="2525" w:type="dxa"/>
                  <w:shd w:val="clear" w:color="auto" w:fill="auto"/>
                  <w:noWrap/>
                  <w:vAlign w:val="center"/>
                  <w:hideMark/>
                </w:tcPr>
                <w:p w14:paraId="6DA3AC2B" w14:textId="2C70C2EA"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环境保护部</w:t>
                  </w:r>
                </w:p>
              </w:tc>
            </w:tr>
            <w:tr w:rsidR="006E4BB9" w:rsidRPr="00D523C8" w14:paraId="66244D64" w14:textId="77777777" w:rsidTr="006E1210">
              <w:trPr>
                <w:trHeight w:val="20"/>
              </w:trPr>
              <w:tc>
                <w:tcPr>
                  <w:tcW w:w="1487" w:type="dxa"/>
                  <w:shd w:val="clear" w:color="auto" w:fill="auto"/>
                  <w:noWrap/>
                  <w:vAlign w:val="center"/>
                  <w:hideMark/>
                </w:tcPr>
                <w:p w14:paraId="0FF15279" w14:textId="7CF2490C"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NEA</w:t>
                  </w:r>
                </w:p>
              </w:tc>
              <w:tc>
                <w:tcPr>
                  <w:tcW w:w="2865" w:type="dxa"/>
                  <w:shd w:val="clear" w:color="auto" w:fill="auto"/>
                  <w:noWrap/>
                  <w:vAlign w:val="center"/>
                  <w:hideMark/>
                </w:tcPr>
                <w:p w14:paraId="37F5AEF2" w14:textId="75E93A7B"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National Energy Administration</w:t>
                  </w:r>
                </w:p>
              </w:tc>
              <w:tc>
                <w:tcPr>
                  <w:tcW w:w="2525" w:type="dxa"/>
                  <w:shd w:val="clear" w:color="auto" w:fill="auto"/>
                  <w:noWrap/>
                  <w:vAlign w:val="center"/>
                  <w:hideMark/>
                </w:tcPr>
                <w:p w14:paraId="67453C39" w14:textId="0F757AE5"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国家能源局</w:t>
                  </w:r>
                </w:p>
              </w:tc>
            </w:tr>
            <w:tr w:rsidR="006E4BB9" w:rsidRPr="00D523C8" w14:paraId="02CC2A10" w14:textId="77777777" w:rsidTr="006E1210">
              <w:trPr>
                <w:trHeight w:val="20"/>
              </w:trPr>
              <w:tc>
                <w:tcPr>
                  <w:tcW w:w="1487" w:type="dxa"/>
                  <w:shd w:val="clear" w:color="auto" w:fill="auto"/>
                  <w:noWrap/>
                  <w:vAlign w:val="center"/>
                  <w:hideMark/>
                </w:tcPr>
                <w:p w14:paraId="19B9EABE" w14:textId="28F8608F"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MHURD</w:t>
                  </w:r>
                </w:p>
              </w:tc>
              <w:tc>
                <w:tcPr>
                  <w:tcW w:w="2865" w:type="dxa"/>
                  <w:shd w:val="clear" w:color="auto" w:fill="auto"/>
                  <w:noWrap/>
                  <w:vAlign w:val="center"/>
                  <w:hideMark/>
                </w:tcPr>
                <w:p w14:paraId="0C6F46B4" w14:textId="5B9D1EB8"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Ministry of Housing and Urban-Rural Development</w:t>
                  </w:r>
                </w:p>
              </w:tc>
              <w:tc>
                <w:tcPr>
                  <w:tcW w:w="2525" w:type="dxa"/>
                  <w:shd w:val="clear" w:color="auto" w:fill="auto"/>
                  <w:noWrap/>
                  <w:vAlign w:val="center"/>
                  <w:hideMark/>
                </w:tcPr>
                <w:p w14:paraId="23F82C67" w14:textId="35B071B4"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住房城乡建设部</w:t>
                  </w:r>
                </w:p>
              </w:tc>
            </w:tr>
            <w:tr w:rsidR="006E4BB9" w:rsidRPr="00D523C8" w14:paraId="2F9A5CE1" w14:textId="77777777" w:rsidTr="006E1210">
              <w:trPr>
                <w:trHeight w:val="20"/>
              </w:trPr>
              <w:tc>
                <w:tcPr>
                  <w:tcW w:w="1487" w:type="dxa"/>
                  <w:shd w:val="clear" w:color="auto" w:fill="auto"/>
                  <w:noWrap/>
                  <w:vAlign w:val="center"/>
                  <w:hideMark/>
                </w:tcPr>
                <w:p w14:paraId="6D765597" w14:textId="1BC0EA03"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MIIT</w:t>
                  </w:r>
                </w:p>
              </w:tc>
              <w:tc>
                <w:tcPr>
                  <w:tcW w:w="2865" w:type="dxa"/>
                  <w:shd w:val="clear" w:color="auto" w:fill="auto"/>
                  <w:noWrap/>
                  <w:vAlign w:val="center"/>
                  <w:hideMark/>
                </w:tcPr>
                <w:p w14:paraId="6FBE8162" w14:textId="34088356"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Ministry of Industry and Information Technology</w:t>
                  </w:r>
                </w:p>
              </w:tc>
              <w:tc>
                <w:tcPr>
                  <w:tcW w:w="2525" w:type="dxa"/>
                  <w:shd w:val="clear" w:color="auto" w:fill="auto"/>
                  <w:noWrap/>
                  <w:vAlign w:val="center"/>
                  <w:hideMark/>
                </w:tcPr>
                <w:p w14:paraId="7A76835C" w14:textId="45A33848"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工业和信息化部</w:t>
                  </w:r>
                </w:p>
              </w:tc>
            </w:tr>
            <w:tr w:rsidR="006E4BB9" w:rsidRPr="00D523C8" w14:paraId="361FD114" w14:textId="77777777" w:rsidTr="006E1210">
              <w:trPr>
                <w:trHeight w:val="20"/>
              </w:trPr>
              <w:tc>
                <w:tcPr>
                  <w:tcW w:w="1487" w:type="dxa"/>
                  <w:shd w:val="clear" w:color="auto" w:fill="auto"/>
                  <w:noWrap/>
                  <w:vAlign w:val="center"/>
                  <w:hideMark/>
                </w:tcPr>
                <w:p w14:paraId="4FE9F256" w14:textId="21B30B48"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SAT</w:t>
                  </w:r>
                </w:p>
              </w:tc>
              <w:tc>
                <w:tcPr>
                  <w:tcW w:w="2865" w:type="dxa"/>
                  <w:shd w:val="clear" w:color="auto" w:fill="auto"/>
                  <w:noWrap/>
                  <w:vAlign w:val="center"/>
                  <w:hideMark/>
                </w:tcPr>
                <w:p w14:paraId="5D02BBD6" w14:textId="6CC49CEC"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State Administration of Taxation</w:t>
                  </w:r>
                </w:p>
              </w:tc>
              <w:tc>
                <w:tcPr>
                  <w:tcW w:w="2525" w:type="dxa"/>
                  <w:shd w:val="clear" w:color="auto" w:fill="auto"/>
                  <w:noWrap/>
                  <w:vAlign w:val="center"/>
                  <w:hideMark/>
                </w:tcPr>
                <w:p w14:paraId="4CECDE7A" w14:textId="4DC50CC9"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国家税务总局</w:t>
                  </w:r>
                </w:p>
              </w:tc>
            </w:tr>
            <w:tr w:rsidR="006E4BB9" w:rsidRPr="00D523C8" w14:paraId="20335415" w14:textId="77777777" w:rsidTr="006E1210">
              <w:trPr>
                <w:trHeight w:val="20"/>
              </w:trPr>
              <w:tc>
                <w:tcPr>
                  <w:tcW w:w="1487" w:type="dxa"/>
                  <w:shd w:val="clear" w:color="auto" w:fill="auto"/>
                  <w:noWrap/>
                  <w:vAlign w:val="center"/>
                  <w:hideMark/>
                </w:tcPr>
                <w:p w14:paraId="7DA4AF2C" w14:textId="1B884906"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MOE</w:t>
                  </w:r>
                </w:p>
              </w:tc>
              <w:tc>
                <w:tcPr>
                  <w:tcW w:w="2865" w:type="dxa"/>
                  <w:shd w:val="clear" w:color="auto" w:fill="auto"/>
                  <w:noWrap/>
                  <w:vAlign w:val="center"/>
                  <w:hideMark/>
                </w:tcPr>
                <w:p w14:paraId="31E1330E" w14:textId="56662207"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Ministry of Education</w:t>
                  </w:r>
                </w:p>
              </w:tc>
              <w:tc>
                <w:tcPr>
                  <w:tcW w:w="2525" w:type="dxa"/>
                  <w:shd w:val="clear" w:color="auto" w:fill="auto"/>
                  <w:noWrap/>
                  <w:vAlign w:val="center"/>
                  <w:hideMark/>
                </w:tcPr>
                <w:p w14:paraId="27707488" w14:textId="27343EE3"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教育部</w:t>
                  </w:r>
                </w:p>
              </w:tc>
            </w:tr>
            <w:tr w:rsidR="006E4BB9" w:rsidRPr="00D523C8" w14:paraId="295A1027" w14:textId="77777777" w:rsidTr="006E1210">
              <w:trPr>
                <w:trHeight w:val="20"/>
              </w:trPr>
              <w:tc>
                <w:tcPr>
                  <w:tcW w:w="1487" w:type="dxa"/>
                  <w:shd w:val="clear" w:color="auto" w:fill="auto"/>
                  <w:noWrap/>
                  <w:vAlign w:val="center"/>
                  <w:hideMark/>
                </w:tcPr>
                <w:p w14:paraId="6C2D78D3" w14:textId="1A5D43DD"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SOA</w:t>
                  </w:r>
                </w:p>
              </w:tc>
              <w:tc>
                <w:tcPr>
                  <w:tcW w:w="2865" w:type="dxa"/>
                  <w:shd w:val="clear" w:color="auto" w:fill="auto"/>
                  <w:noWrap/>
                  <w:vAlign w:val="center"/>
                  <w:hideMark/>
                </w:tcPr>
                <w:p w14:paraId="278136A2" w14:textId="07012E02"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State Oceanic Administration</w:t>
                  </w:r>
                </w:p>
              </w:tc>
              <w:tc>
                <w:tcPr>
                  <w:tcW w:w="2525" w:type="dxa"/>
                  <w:shd w:val="clear" w:color="auto" w:fill="auto"/>
                  <w:noWrap/>
                  <w:vAlign w:val="center"/>
                  <w:hideMark/>
                </w:tcPr>
                <w:p w14:paraId="2319A19F" w14:textId="534EC975"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国家海洋局</w:t>
                  </w:r>
                </w:p>
              </w:tc>
            </w:tr>
            <w:tr w:rsidR="006E4BB9" w:rsidRPr="00D523C8" w14:paraId="168C132C" w14:textId="77777777" w:rsidTr="006E1210">
              <w:trPr>
                <w:trHeight w:val="20"/>
              </w:trPr>
              <w:tc>
                <w:tcPr>
                  <w:tcW w:w="1487" w:type="dxa"/>
                  <w:shd w:val="clear" w:color="auto" w:fill="auto"/>
                  <w:noWrap/>
                  <w:vAlign w:val="center"/>
                  <w:hideMark/>
                </w:tcPr>
                <w:p w14:paraId="7F2A7544" w14:textId="10937954"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FNEC</w:t>
                  </w:r>
                </w:p>
              </w:tc>
              <w:tc>
                <w:tcPr>
                  <w:tcW w:w="2865" w:type="dxa"/>
                  <w:shd w:val="clear" w:color="auto" w:fill="auto"/>
                  <w:noWrap/>
                  <w:vAlign w:val="center"/>
                  <w:hideMark/>
                </w:tcPr>
                <w:p w14:paraId="1AE1AE63" w14:textId="04A24D9B"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Former National Economic Council</w:t>
                  </w:r>
                </w:p>
              </w:tc>
              <w:tc>
                <w:tcPr>
                  <w:tcW w:w="2525" w:type="dxa"/>
                  <w:shd w:val="clear" w:color="auto" w:fill="auto"/>
                  <w:noWrap/>
                  <w:vAlign w:val="center"/>
                  <w:hideMark/>
                </w:tcPr>
                <w:p w14:paraId="5EEBC908" w14:textId="6187EEBA"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国家经济委员会</w:t>
                  </w:r>
                </w:p>
              </w:tc>
            </w:tr>
            <w:tr w:rsidR="006E4BB9" w:rsidRPr="00D523C8" w14:paraId="6122A0A4" w14:textId="77777777" w:rsidTr="006E1210">
              <w:trPr>
                <w:trHeight w:val="20"/>
              </w:trPr>
              <w:tc>
                <w:tcPr>
                  <w:tcW w:w="1487" w:type="dxa"/>
                  <w:shd w:val="clear" w:color="auto" w:fill="auto"/>
                  <w:noWrap/>
                  <w:vAlign w:val="center"/>
                  <w:hideMark/>
                </w:tcPr>
                <w:p w14:paraId="16C83B9B" w14:textId="36DE30FC"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FMWREP</w:t>
                  </w:r>
                </w:p>
              </w:tc>
              <w:tc>
                <w:tcPr>
                  <w:tcW w:w="2865" w:type="dxa"/>
                  <w:shd w:val="clear" w:color="auto" w:fill="auto"/>
                  <w:noWrap/>
                  <w:vAlign w:val="center"/>
                  <w:hideMark/>
                </w:tcPr>
                <w:p w14:paraId="1AA35AC4" w14:textId="0509FE1B"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Former Ministry of Water Resource and Electric Power</w:t>
                  </w:r>
                </w:p>
              </w:tc>
              <w:tc>
                <w:tcPr>
                  <w:tcW w:w="2525" w:type="dxa"/>
                  <w:shd w:val="clear" w:color="auto" w:fill="auto"/>
                  <w:noWrap/>
                  <w:vAlign w:val="center"/>
                  <w:hideMark/>
                </w:tcPr>
                <w:p w14:paraId="07DDC030" w14:textId="6B65FB04"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水利电力部</w:t>
                  </w:r>
                </w:p>
              </w:tc>
            </w:tr>
            <w:tr w:rsidR="006E4BB9" w:rsidRPr="00D523C8" w14:paraId="666723B4" w14:textId="77777777" w:rsidTr="006E1210">
              <w:trPr>
                <w:trHeight w:val="20"/>
              </w:trPr>
              <w:tc>
                <w:tcPr>
                  <w:tcW w:w="1487" w:type="dxa"/>
                  <w:shd w:val="clear" w:color="auto" w:fill="auto"/>
                  <w:noWrap/>
                  <w:vAlign w:val="center"/>
                  <w:hideMark/>
                </w:tcPr>
                <w:p w14:paraId="08799E0E" w14:textId="425BC4E9"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FME</w:t>
                  </w:r>
                </w:p>
              </w:tc>
              <w:tc>
                <w:tcPr>
                  <w:tcW w:w="2865" w:type="dxa"/>
                  <w:shd w:val="clear" w:color="auto" w:fill="auto"/>
                  <w:noWrap/>
                  <w:vAlign w:val="center"/>
                  <w:hideMark/>
                </w:tcPr>
                <w:p w14:paraId="3CB136D5" w14:textId="559DED3E"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 xml:space="preserve">Former Ministry of Energy </w:t>
                  </w:r>
                </w:p>
              </w:tc>
              <w:tc>
                <w:tcPr>
                  <w:tcW w:w="2525" w:type="dxa"/>
                  <w:shd w:val="clear" w:color="auto" w:fill="auto"/>
                  <w:noWrap/>
                  <w:vAlign w:val="center"/>
                  <w:hideMark/>
                </w:tcPr>
                <w:p w14:paraId="7591689C" w14:textId="26A3521F"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能源部</w:t>
                  </w:r>
                </w:p>
              </w:tc>
            </w:tr>
            <w:tr w:rsidR="006E4BB9" w:rsidRPr="00D523C8" w14:paraId="053D6186" w14:textId="77777777" w:rsidTr="006E1210">
              <w:trPr>
                <w:trHeight w:val="20"/>
              </w:trPr>
              <w:tc>
                <w:tcPr>
                  <w:tcW w:w="1487" w:type="dxa"/>
                  <w:shd w:val="clear" w:color="auto" w:fill="auto"/>
                  <w:noWrap/>
                  <w:vAlign w:val="center"/>
                  <w:hideMark/>
                </w:tcPr>
                <w:p w14:paraId="1DD1941F" w14:textId="629226A2"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MWR</w:t>
                  </w:r>
                </w:p>
              </w:tc>
              <w:tc>
                <w:tcPr>
                  <w:tcW w:w="2865" w:type="dxa"/>
                  <w:shd w:val="clear" w:color="auto" w:fill="auto"/>
                  <w:noWrap/>
                  <w:vAlign w:val="center"/>
                  <w:hideMark/>
                </w:tcPr>
                <w:p w14:paraId="0C2C3A0A" w14:textId="1BE0F79C"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Ministry of Water Resources</w:t>
                  </w:r>
                </w:p>
              </w:tc>
              <w:tc>
                <w:tcPr>
                  <w:tcW w:w="2525" w:type="dxa"/>
                  <w:shd w:val="clear" w:color="auto" w:fill="auto"/>
                  <w:noWrap/>
                  <w:vAlign w:val="center"/>
                  <w:hideMark/>
                </w:tcPr>
                <w:p w14:paraId="17BB3DC5" w14:textId="2087DE96"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水利部</w:t>
                  </w:r>
                </w:p>
              </w:tc>
            </w:tr>
            <w:tr w:rsidR="006E4BB9" w:rsidRPr="00D523C8" w14:paraId="3A5DE319" w14:textId="77777777" w:rsidTr="006E1210">
              <w:trPr>
                <w:trHeight w:val="20"/>
              </w:trPr>
              <w:tc>
                <w:tcPr>
                  <w:tcW w:w="1487" w:type="dxa"/>
                  <w:shd w:val="clear" w:color="auto" w:fill="auto"/>
                  <w:noWrap/>
                  <w:vAlign w:val="center"/>
                  <w:hideMark/>
                </w:tcPr>
                <w:p w14:paraId="1ED2F293" w14:textId="1772DBD7"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ABC</w:t>
                  </w:r>
                </w:p>
              </w:tc>
              <w:tc>
                <w:tcPr>
                  <w:tcW w:w="2865" w:type="dxa"/>
                  <w:shd w:val="clear" w:color="auto" w:fill="auto"/>
                  <w:noWrap/>
                  <w:vAlign w:val="center"/>
                  <w:hideMark/>
                </w:tcPr>
                <w:p w14:paraId="1DB0C147" w14:textId="2C687530"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Agricultural Bank of China</w:t>
                  </w:r>
                </w:p>
              </w:tc>
              <w:tc>
                <w:tcPr>
                  <w:tcW w:w="2525" w:type="dxa"/>
                  <w:shd w:val="clear" w:color="auto" w:fill="auto"/>
                  <w:noWrap/>
                  <w:vAlign w:val="center"/>
                  <w:hideMark/>
                </w:tcPr>
                <w:p w14:paraId="20F38C66" w14:textId="3E64811D"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中国农业银行</w:t>
                  </w:r>
                </w:p>
              </w:tc>
            </w:tr>
            <w:tr w:rsidR="006E4BB9" w:rsidRPr="00D523C8" w14:paraId="44A76CC2" w14:textId="77777777" w:rsidTr="006E1210">
              <w:trPr>
                <w:trHeight w:val="20"/>
              </w:trPr>
              <w:tc>
                <w:tcPr>
                  <w:tcW w:w="1487" w:type="dxa"/>
                  <w:shd w:val="clear" w:color="auto" w:fill="auto"/>
                  <w:noWrap/>
                  <w:vAlign w:val="center"/>
                  <w:hideMark/>
                </w:tcPr>
                <w:p w14:paraId="3EDDF8D8" w14:textId="30BA04BC"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NDRC</w:t>
                  </w:r>
                </w:p>
              </w:tc>
              <w:tc>
                <w:tcPr>
                  <w:tcW w:w="2865" w:type="dxa"/>
                  <w:shd w:val="clear" w:color="auto" w:fill="auto"/>
                  <w:noWrap/>
                  <w:vAlign w:val="center"/>
                  <w:hideMark/>
                </w:tcPr>
                <w:p w14:paraId="64A04A3D" w14:textId="6B5479E9"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National Development and Reform Commission</w:t>
                  </w:r>
                </w:p>
              </w:tc>
              <w:tc>
                <w:tcPr>
                  <w:tcW w:w="2525" w:type="dxa"/>
                  <w:shd w:val="clear" w:color="auto" w:fill="auto"/>
                  <w:noWrap/>
                  <w:vAlign w:val="center"/>
                  <w:hideMark/>
                </w:tcPr>
                <w:p w14:paraId="744CE2D8" w14:textId="22D5C2C7"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国家发展和改革委员会</w:t>
                  </w:r>
                </w:p>
              </w:tc>
            </w:tr>
            <w:tr w:rsidR="006E4BB9" w:rsidRPr="00D523C8" w14:paraId="7C354372" w14:textId="77777777" w:rsidTr="006E1210">
              <w:trPr>
                <w:trHeight w:val="20"/>
              </w:trPr>
              <w:tc>
                <w:tcPr>
                  <w:tcW w:w="1487" w:type="dxa"/>
                  <w:shd w:val="clear" w:color="auto" w:fill="auto"/>
                  <w:noWrap/>
                  <w:vAlign w:val="center"/>
                  <w:hideMark/>
                </w:tcPr>
                <w:p w14:paraId="660424B8" w14:textId="7D9E0BC1"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CPCCC</w:t>
                  </w:r>
                </w:p>
              </w:tc>
              <w:tc>
                <w:tcPr>
                  <w:tcW w:w="2865" w:type="dxa"/>
                  <w:shd w:val="clear" w:color="auto" w:fill="auto"/>
                  <w:noWrap/>
                  <w:vAlign w:val="center"/>
                  <w:hideMark/>
                </w:tcPr>
                <w:p w14:paraId="4801834E" w14:textId="3335E58C"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CPC (Communist Party of China) Central Committee</w:t>
                  </w:r>
                </w:p>
              </w:tc>
              <w:tc>
                <w:tcPr>
                  <w:tcW w:w="2525" w:type="dxa"/>
                  <w:shd w:val="clear" w:color="auto" w:fill="auto"/>
                  <w:noWrap/>
                  <w:vAlign w:val="center"/>
                  <w:hideMark/>
                </w:tcPr>
                <w:p w14:paraId="7D1726B7" w14:textId="35B3FE35"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中国共产党中央委员会</w:t>
                  </w:r>
                  <w:r w:rsidRPr="00D523C8">
                    <w:rPr>
                      <w:rFonts w:ascii="Times New Roman" w:hAnsi="Times New Roman"/>
                      <w:sz w:val="20"/>
                      <w:szCs w:val="20"/>
                      <w:lang w:val="en-US"/>
                    </w:rPr>
                    <w:t>(</w:t>
                  </w:r>
                  <w:r w:rsidRPr="00D523C8">
                    <w:rPr>
                      <w:rFonts w:ascii="Times New Roman" w:eastAsia="Microsoft JhengHei" w:hAnsi="Times New Roman"/>
                      <w:sz w:val="20"/>
                      <w:szCs w:val="20"/>
                      <w:lang w:val="en-US"/>
                    </w:rPr>
                    <w:t>中共中央</w:t>
                  </w:r>
                  <w:r w:rsidRPr="00D523C8">
                    <w:rPr>
                      <w:rFonts w:ascii="Times New Roman" w:hAnsi="Times New Roman"/>
                      <w:sz w:val="20"/>
                      <w:szCs w:val="20"/>
                      <w:lang w:val="en-US"/>
                    </w:rPr>
                    <w:t>)</w:t>
                  </w:r>
                </w:p>
              </w:tc>
            </w:tr>
            <w:tr w:rsidR="006E4BB9" w:rsidRPr="00D523C8" w14:paraId="7D8E78A1" w14:textId="77777777" w:rsidTr="006E1210">
              <w:trPr>
                <w:trHeight w:val="20"/>
              </w:trPr>
              <w:tc>
                <w:tcPr>
                  <w:tcW w:w="1487" w:type="dxa"/>
                  <w:shd w:val="clear" w:color="auto" w:fill="auto"/>
                  <w:noWrap/>
                  <w:vAlign w:val="center"/>
                  <w:hideMark/>
                </w:tcPr>
                <w:p w14:paraId="22696E1E" w14:textId="552C02A1"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FMLR</w:t>
                  </w:r>
                </w:p>
              </w:tc>
              <w:tc>
                <w:tcPr>
                  <w:tcW w:w="2865" w:type="dxa"/>
                  <w:shd w:val="clear" w:color="auto" w:fill="auto"/>
                  <w:vAlign w:val="center"/>
                  <w:hideMark/>
                </w:tcPr>
                <w:p w14:paraId="41B2388F" w14:textId="146DD05A"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 xml:space="preserve">Former Ministry of Land and Resources </w:t>
                  </w:r>
                </w:p>
              </w:tc>
              <w:tc>
                <w:tcPr>
                  <w:tcW w:w="2525" w:type="dxa"/>
                  <w:shd w:val="clear" w:color="auto" w:fill="auto"/>
                  <w:noWrap/>
                  <w:vAlign w:val="center"/>
                  <w:hideMark/>
                </w:tcPr>
                <w:p w14:paraId="6D30A09C" w14:textId="34ECF748"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国土资源部</w:t>
                  </w:r>
                </w:p>
              </w:tc>
            </w:tr>
            <w:tr w:rsidR="006E4BB9" w:rsidRPr="00D523C8" w14:paraId="1BFBD514" w14:textId="77777777" w:rsidTr="006E1210">
              <w:trPr>
                <w:trHeight w:val="20"/>
              </w:trPr>
              <w:tc>
                <w:tcPr>
                  <w:tcW w:w="1487" w:type="dxa"/>
                  <w:shd w:val="clear" w:color="auto" w:fill="auto"/>
                  <w:noWrap/>
                  <w:vAlign w:val="center"/>
                  <w:hideMark/>
                </w:tcPr>
                <w:p w14:paraId="5DB6B159" w14:textId="01D755C9"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lastRenderedPageBreak/>
                    <w:t>NPC</w:t>
                  </w:r>
                </w:p>
              </w:tc>
              <w:tc>
                <w:tcPr>
                  <w:tcW w:w="2865" w:type="dxa"/>
                  <w:shd w:val="clear" w:color="auto" w:fill="auto"/>
                  <w:noWrap/>
                  <w:vAlign w:val="center"/>
                  <w:hideMark/>
                </w:tcPr>
                <w:p w14:paraId="44BE7CB9" w14:textId="3D029E37"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National People's Congress</w:t>
                  </w:r>
                </w:p>
              </w:tc>
              <w:tc>
                <w:tcPr>
                  <w:tcW w:w="2525" w:type="dxa"/>
                  <w:shd w:val="clear" w:color="auto" w:fill="auto"/>
                  <w:noWrap/>
                  <w:vAlign w:val="center"/>
                  <w:hideMark/>
                </w:tcPr>
                <w:p w14:paraId="5AC3936E" w14:textId="287C858B"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全国人民代表大会</w:t>
                  </w:r>
                </w:p>
              </w:tc>
            </w:tr>
            <w:tr w:rsidR="006E4BB9" w:rsidRPr="00D523C8" w14:paraId="5D80809D" w14:textId="77777777" w:rsidTr="006E1210">
              <w:trPr>
                <w:trHeight w:val="20"/>
              </w:trPr>
              <w:tc>
                <w:tcPr>
                  <w:tcW w:w="1487" w:type="dxa"/>
                  <w:shd w:val="clear" w:color="auto" w:fill="auto"/>
                  <w:noWrap/>
                  <w:vAlign w:val="center"/>
                  <w:hideMark/>
                </w:tcPr>
                <w:p w14:paraId="272A2C3F" w14:textId="4C1BDCA5"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MNR</w:t>
                  </w:r>
                </w:p>
              </w:tc>
              <w:tc>
                <w:tcPr>
                  <w:tcW w:w="2865" w:type="dxa"/>
                  <w:shd w:val="clear" w:color="auto" w:fill="auto"/>
                  <w:noWrap/>
                  <w:vAlign w:val="center"/>
                  <w:hideMark/>
                </w:tcPr>
                <w:p w14:paraId="17F02769" w14:textId="63EC73CA" w:rsidR="006E4BB9" w:rsidRPr="00D523C8" w:rsidRDefault="006E4BB9" w:rsidP="001C6C9E">
                  <w:pPr>
                    <w:rPr>
                      <w:rFonts w:ascii="Times New Roman" w:hAnsi="Times New Roman"/>
                      <w:color w:val="000000"/>
                      <w:sz w:val="20"/>
                      <w:szCs w:val="20"/>
                      <w:lang w:val="en-US"/>
                    </w:rPr>
                  </w:pPr>
                  <w:r w:rsidRPr="00D523C8">
                    <w:rPr>
                      <w:rFonts w:ascii="Times New Roman" w:hAnsi="Times New Roman"/>
                      <w:color w:val="000000"/>
                      <w:sz w:val="20"/>
                      <w:szCs w:val="20"/>
                      <w:lang w:val="en-US"/>
                    </w:rPr>
                    <w:t>Ministry of Natural Resources</w:t>
                  </w:r>
                </w:p>
              </w:tc>
              <w:tc>
                <w:tcPr>
                  <w:tcW w:w="2525" w:type="dxa"/>
                  <w:shd w:val="clear" w:color="auto" w:fill="auto"/>
                  <w:noWrap/>
                  <w:vAlign w:val="center"/>
                  <w:hideMark/>
                </w:tcPr>
                <w:p w14:paraId="7324954C" w14:textId="01230206" w:rsidR="006E4BB9" w:rsidRPr="00D523C8" w:rsidRDefault="006E4BB9" w:rsidP="001C6C9E">
                  <w:pPr>
                    <w:rPr>
                      <w:rFonts w:ascii="Times New Roman" w:hAnsi="Times New Roman"/>
                      <w:sz w:val="20"/>
                      <w:szCs w:val="20"/>
                      <w:lang w:val="en-US"/>
                    </w:rPr>
                  </w:pPr>
                  <w:r w:rsidRPr="00D523C8">
                    <w:rPr>
                      <w:rFonts w:ascii="Times New Roman" w:eastAsia="Microsoft JhengHei" w:hAnsi="Times New Roman"/>
                      <w:sz w:val="20"/>
                      <w:szCs w:val="20"/>
                      <w:lang w:val="en-US"/>
                    </w:rPr>
                    <w:t>自然资源部</w:t>
                  </w:r>
                </w:p>
              </w:tc>
            </w:tr>
            <w:tr w:rsidR="006E4BB9" w:rsidRPr="00D523C8" w14:paraId="3DCDA00D" w14:textId="77777777" w:rsidTr="007D5917">
              <w:trPr>
                <w:trHeight w:val="20"/>
              </w:trPr>
              <w:tc>
                <w:tcPr>
                  <w:tcW w:w="1487" w:type="dxa"/>
                  <w:shd w:val="clear" w:color="auto" w:fill="auto"/>
                  <w:noWrap/>
                  <w:vAlign w:val="center"/>
                </w:tcPr>
                <w:p w14:paraId="25D2F88E" w14:textId="37115A66" w:rsidR="006E4BB9" w:rsidRPr="00D523C8" w:rsidRDefault="006E4BB9" w:rsidP="001C6C9E">
                  <w:pPr>
                    <w:rPr>
                      <w:rFonts w:ascii="Times New Roman" w:hAnsi="Times New Roman"/>
                      <w:color w:val="000000"/>
                      <w:sz w:val="20"/>
                      <w:szCs w:val="20"/>
                      <w:lang w:val="en-US"/>
                    </w:rPr>
                  </w:pPr>
                </w:p>
              </w:tc>
              <w:tc>
                <w:tcPr>
                  <w:tcW w:w="2865" w:type="dxa"/>
                  <w:shd w:val="clear" w:color="auto" w:fill="auto"/>
                  <w:noWrap/>
                  <w:vAlign w:val="center"/>
                </w:tcPr>
                <w:p w14:paraId="29961A2E" w14:textId="544B8967" w:rsidR="006E4BB9" w:rsidRPr="00D523C8" w:rsidRDefault="006E4BB9" w:rsidP="001C6C9E">
                  <w:pPr>
                    <w:rPr>
                      <w:rFonts w:ascii="Times New Roman" w:hAnsi="Times New Roman"/>
                      <w:color w:val="000000"/>
                      <w:sz w:val="20"/>
                      <w:szCs w:val="20"/>
                      <w:lang w:val="en-US"/>
                    </w:rPr>
                  </w:pPr>
                </w:p>
              </w:tc>
              <w:tc>
                <w:tcPr>
                  <w:tcW w:w="2525" w:type="dxa"/>
                  <w:shd w:val="clear" w:color="auto" w:fill="auto"/>
                  <w:noWrap/>
                  <w:vAlign w:val="center"/>
                </w:tcPr>
                <w:p w14:paraId="7E773232" w14:textId="70E31C57" w:rsidR="006E4BB9" w:rsidRPr="00D523C8" w:rsidRDefault="006E4BB9" w:rsidP="001C6C9E">
                  <w:pPr>
                    <w:rPr>
                      <w:rFonts w:ascii="Times New Roman" w:hAnsi="Times New Roman"/>
                      <w:sz w:val="20"/>
                      <w:szCs w:val="20"/>
                      <w:lang w:val="en-US"/>
                    </w:rPr>
                  </w:pPr>
                </w:p>
              </w:tc>
            </w:tr>
          </w:tbl>
          <w:p w14:paraId="472FFD15" w14:textId="77777777" w:rsidR="00AC5E67" w:rsidRPr="00D523C8" w:rsidRDefault="00AC5E67" w:rsidP="00AC5E67">
            <w:pPr>
              <w:pStyle w:val="ListParagraph"/>
              <w:spacing w:line="480" w:lineRule="auto"/>
              <w:ind w:left="0"/>
              <w:rPr>
                <w:rFonts w:ascii="Times New Roman" w:hAnsi="Times New Roman" w:cs="Times New Roman"/>
                <w:sz w:val="20"/>
                <w:szCs w:val="20"/>
              </w:rPr>
            </w:pPr>
          </w:p>
        </w:tc>
      </w:tr>
      <w:tr w:rsidR="00A20920" w:rsidRPr="00D523C8" w14:paraId="78FCA774" w14:textId="77777777" w:rsidTr="001C6C9E">
        <w:trPr>
          <w:trHeight w:val="113"/>
        </w:trPr>
        <w:tc>
          <w:tcPr>
            <w:tcW w:w="784" w:type="pct"/>
          </w:tcPr>
          <w:p w14:paraId="670B0092" w14:textId="53C33356"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lastRenderedPageBreak/>
              <w:t xml:space="preserve">Policy </w:t>
            </w:r>
            <w:r w:rsidR="00730AD8">
              <w:rPr>
                <w:rFonts w:ascii="Times New Roman" w:hAnsi="Times New Roman" w:cs="Times New Roman"/>
                <w:sz w:val="20"/>
                <w:szCs w:val="20"/>
              </w:rPr>
              <w:t>objective</w:t>
            </w:r>
          </w:p>
        </w:tc>
        <w:tc>
          <w:tcPr>
            <w:tcW w:w="4216" w:type="pct"/>
          </w:tcPr>
          <w:p w14:paraId="52ECFBB4" w14:textId="55341B2C"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A) Reducing air pollution</w:t>
            </w:r>
          </w:p>
          <w:p w14:paraId="68811D20" w14:textId="7D84C804"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B) Reducing CO</w:t>
            </w:r>
            <w:r w:rsidRPr="00D523C8">
              <w:rPr>
                <w:rFonts w:ascii="Times New Roman" w:hAnsi="Times New Roman" w:cs="Times New Roman"/>
                <w:sz w:val="20"/>
                <w:szCs w:val="20"/>
                <w:vertAlign w:val="subscript"/>
              </w:rPr>
              <w:t>2</w:t>
            </w:r>
            <w:r w:rsidRPr="00D523C8">
              <w:rPr>
                <w:rFonts w:ascii="Times New Roman" w:hAnsi="Times New Roman" w:cs="Times New Roman"/>
                <w:sz w:val="20"/>
                <w:szCs w:val="20"/>
              </w:rPr>
              <w:t xml:space="preserve"> emission (or GHG)</w:t>
            </w:r>
          </w:p>
          <w:p w14:paraId="3C4754AE" w14:textId="4025E23F"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C) Hydro energy related</w:t>
            </w:r>
          </w:p>
          <w:p w14:paraId="17885AF3" w14:textId="323283A3"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D) Wind energy related</w:t>
            </w:r>
          </w:p>
          <w:p w14:paraId="6515D78B" w14:textId="6D19E395"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E) Solar energy related</w:t>
            </w:r>
          </w:p>
          <w:p w14:paraId="11FAE357" w14:textId="53BF622F"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F) Planning</w:t>
            </w:r>
          </w:p>
          <w:p w14:paraId="60F02D09" w14:textId="13F319BD"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G) Others</w:t>
            </w:r>
          </w:p>
        </w:tc>
      </w:tr>
      <w:tr w:rsidR="005C210D" w:rsidRPr="00804BC8" w14:paraId="4B70C423" w14:textId="77777777" w:rsidTr="001C6C9E">
        <w:trPr>
          <w:trHeight w:val="113"/>
        </w:trPr>
        <w:tc>
          <w:tcPr>
            <w:tcW w:w="784" w:type="pct"/>
          </w:tcPr>
          <w:p w14:paraId="63F97021" w14:textId="16F9A1B6" w:rsidR="005C210D" w:rsidRPr="00D523C8" w:rsidRDefault="005C210D"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Policy background</w:t>
            </w:r>
          </w:p>
        </w:tc>
        <w:tc>
          <w:tcPr>
            <w:tcW w:w="4216" w:type="pct"/>
          </w:tcPr>
          <w:p w14:paraId="734F7CB9" w14:textId="3F44EF8D" w:rsidR="005C210D" w:rsidRPr="00D523C8" w:rsidRDefault="005C210D"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Policy background mentioned in the policy document: ___</w:t>
            </w:r>
          </w:p>
        </w:tc>
      </w:tr>
      <w:tr w:rsidR="00A20920" w:rsidRPr="00804BC8" w14:paraId="2ED62616" w14:textId="77777777" w:rsidTr="001C6C9E">
        <w:trPr>
          <w:trHeight w:val="113"/>
        </w:trPr>
        <w:tc>
          <w:tcPr>
            <w:tcW w:w="784" w:type="pct"/>
          </w:tcPr>
          <w:p w14:paraId="0FB110A5" w14:textId="77777777"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Policy content</w:t>
            </w:r>
          </w:p>
        </w:tc>
        <w:tc>
          <w:tcPr>
            <w:tcW w:w="4216" w:type="pct"/>
          </w:tcPr>
          <w:p w14:paraId="16D83507" w14:textId="77777777"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 xml:space="preserve">1) Does the policy document mention a specific policy instrument or a set of policy instruments? </w:t>
            </w:r>
          </w:p>
          <w:p w14:paraId="7F771206" w14:textId="151D49E0"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Yes [</w:t>
            </w:r>
            <w:r w:rsidR="000C0074" w:rsidRPr="00D523C8">
              <w:rPr>
                <w:rFonts w:ascii="Times New Roman" w:hAnsi="Times New Roman" w:cs="Times New Roman"/>
                <w:sz w:val="20"/>
                <w:szCs w:val="20"/>
              </w:rPr>
              <w:t>G</w:t>
            </w:r>
            <w:r w:rsidRPr="00D523C8">
              <w:rPr>
                <w:rFonts w:ascii="Times New Roman" w:hAnsi="Times New Roman" w:cs="Times New Roman"/>
                <w:sz w:val="20"/>
                <w:szCs w:val="20"/>
              </w:rPr>
              <w:t>o to question 2]</w:t>
            </w:r>
          </w:p>
          <w:p w14:paraId="15FB7122" w14:textId="18572479"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No</w:t>
            </w:r>
            <w:r w:rsidR="00A20920" w:rsidRPr="00D523C8">
              <w:rPr>
                <w:rFonts w:ascii="Times New Roman" w:hAnsi="Times New Roman" w:cs="Times New Roman"/>
                <w:sz w:val="20"/>
                <w:szCs w:val="20"/>
              </w:rPr>
              <w:t xml:space="preserve"> [</w:t>
            </w:r>
            <w:r w:rsidR="00D61021" w:rsidRPr="00D523C8">
              <w:rPr>
                <w:rFonts w:ascii="Times New Roman" w:hAnsi="Times New Roman" w:cs="Times New Roman"/>
                <w:sz w:val="20"/>
                <w:szCs w:val="20"/>
              </w:rPr>
              <w:t>No further questions</w:t>
            </w:r>
            <w:r w:rsidR="00A20920" w:rsidRPr="00D523C8">
              <w:rPr>
                <w:rFonts w:ascii="Times New Roman" w:hAnsi="Times New Roman" w:cs="Times New Roman"/>
                <w:sz w:val="20"/>
                <w:szCs w:val="20"/>
              </w:rPr>
              <w:t>]</w:t>
            </w:r>
          </w:p>
          <w:p w14:paraId="6A2FF00E" w14:textId="4449AAC8" w:rsidR="00AC5E67" w:rsidRPr="00D523C8" w:rsidRDefault="00AC5E67"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2) What is the policy instrument (or, what are the policy instruments)? ____</w:t>
            </w:r>
          </w:p>
          <w:p w14:paraId="45496F16" w14:textId="46168508" w:rsidR="00D51743" w:rsidRPr="00D523C8" w:rsidRDefault="0026617C" w:rsidP="00156ECC">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3</w:t>
            </w:r>
            <w:r w:rsidR="00D51743" w:rsidRPr="00D523C8">
              <w:rPr>
                <w:rFonts w:ascii="Times New Roman" w:hAnsi="Times New Roman" w:cs="Times New Roman"/>
                <w:sz w:val="20"/>
                <w:szCs w:val="20"/>
              </w:rPr>
              <w:t xml:space="preserve">) </w:t>
            </w:r>
            <w:r w:rsidR="00156ECC" w:rsidRPr="00D523C8">
              <w:rPr>
                <w:rFonts w:ascii="Times New Roman" w:hAnsi="Times New Roman" w:cs="Times New Roman"/>
                <w:sz w:val="20"/>
                <w:szCs w:val="20"/>
              </w:rPr>
              <w:t>Types of</w:t>
            </w:r>
            <w:r w:rsidR="00D51743" w:rsidRPr="00D523C8">
              <w:rPr>
                <w:rFonts w:ascii="Times New Roman" w:hAnsi="Times New Roman" w:cs="Times New Roman"/>
                <w:sz w:val="20"/>
                <w:szCs w:val="20"/>
              </w:rPr>
              <w:t xml:space="preserve"> the policy instrument (or, what are the policy instruments)? </w:t>
            </w:r>
            <w:r w:rsidR="00F03D07" w:rsidRPr="00D523C8">
              <w:rPr>
                <w:rFonts w:ascii="Times New Roman" w:hAnsi="Times New Roman" w:cs="Times New Roman"/>
                <w:sz w:val="20"/>
                <w:szCs w:val="20"/>
              </w:rPr>
              <w:t>____</w:t>
            </w:r>
          </w:p>
          <w:p w14:paraId="15EB7734" w14:textId="45AE5450" w:rsidR="00156ECC" w:rsidRPr="00D523C8" w:rsidRDefault="00156ECC" w:rsidP="00156ECC">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 xml:space="preserve">A) </w:t>
            </w:r>
            <w:proofErr w:type="spellStart"/>
            <w:r w:rsidRPr="00D523C8">
              <w:rPr>
                <w:rFonts w:ascii="Times New Roman" w:hAnsi="Times New Roman" w:cs="Times New Roman"/>
                <w:sz w:val="20"/>
                <w:szCs w:val="20"/>
              </w:rPr>
              <w:t>Nodality</w:t>
            </w:r>
            <w:proofErr w:type="spellEnd"/>
          </w:p>
          <w:p w14:paraId="1EBF6D20" w14:textId="047D2BC0" w:rsidR="00156ECC" w:rsidRPr="00D523C8" w:rsidRDefault="00156ECC" w:rsidP="00156ECC">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B) Authority</w:t>
            </w:r>
          </w:p>
          <w:p w14:paraId="51042423" w14:textId="7FBA1060" w:rsidR="00156ECC" w:rsidRPr="00D523C8" w:rsidRDefault="00156ECC" w:rsidP="00156ECC">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C) Treasure</w:t>
            </w:r>
          </w:p>
          <w:p w14:paraId="20133CD2" w14:textId="2346D549" w:rsidR="00156ECC" w:rsidRPr="00D523C8" w:rsidRDefault="00156ECC" w:rsidP="00156ECC">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D) Organization</w:t>
            </w:r>
          </w:p>
          <w:p w14:paraId="4454729E" w14:textId="4C990F22" w:rsidR="00AC5E67" w:rsidRPr="00D523C8" w:rsidRDefault="001C6C9E"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4</w:t>
            </w:r>
            <w:r w:rsidR="00AC5E67" w:rsidRPr="00D523C8">
              <w:rPr>
                <w:rFonts w:ascii="Times New Roman" w:hAnsi="Times New Roman" w:cs="Times New Roman"/>
                <w:sz w:val="20"/>
                <w:szCs w:val="20"/>
              </w:rPr>
              <w:t>) The geographic scope where the policy instrument is implemented: ___</w:t>
            </w:r>
            <w:r w:rsidR="00F84CC0">
              <w:rPr>
                <w:rFonts w:ascii="Times New Roman" w:hAnsi="Times New Roman" w:cs="Times New Roman"/>
                <w:sz w:val="20"/>
                <w:szCs w:val="20"/>
              </w:rPr>
              <w:t xml:space="preserve"> </w:t>
            </w:r>
          </w:p>
          <w:p w14:paraId="7CE66C50" w14:textId="59FA2301" w:rsidR="00AC5E67" w:rsidRPr="00D523C8" w:rsidRDefault="001C6C9E" w:rsidP="00AC5E67">
            <w:pPr>
              <w:pStyle w:val="ListParagraph"/>
              <w:spacing w:line="480" w:lineRule="auto"/>
              <w:ind w:left="0"/>
              <w:rPr>
                <w:rFonts w:ascii="Times New Roman" w:hAnsi="Times New Roman" w:cs="Times New Roman"/>
                <w:sz w:val="20"/>
                <w:szCs w:val="20"/>
              </w:rPr>
            </w:pPr>
            <w:r w:rsidRPr="00D523C8">
              <w:rPr>
                <w:rFonts w:ascii="Times New Roman" w:hAnsi="Times New Roman" w:cs="Times New Roman"/>
                <w:sz w:val="20"/>
                <w:szCs w:val="20"/>
              </w:rPr>
              <w:t>5</w:t>
            </w:r>
            <w:r w:rsidR="00AC5E67" w:rsidRPr="00D523C8">
              <w:rPr>
                <w:rFonts w:ascii="Times New Roman" w:hAnsi="Times New Roman" w:cs="Times New Roman"/>
                <w:sz w:val="20"/>
                <w:szCs w:val="20"/>
              </w:rPr>
              <w:t>) Information related to stringency of the policy instrument: ___ (if applicable)</w:t>
            </w:r>
          </w:p>
        </w:tc>
      </w:tr>
    </w:tbl>
    <w:p w14:paraId="572FC040" w14:textId="77777777" w:rsidR="002E7CFE" w:rsidRPr="00D523C8" w:rsidRDefault="002E7CFE" w:rsidP="007A35BD">
      <w:pPr>
        <w:spacing w:line="360" w:lineRule="auto"/>
        <w:jc w:val="both"/>
        <w:rPr>
          <w:rFonts w:ascii="Times New Roman" w:hAnsi="Times New Roman"/>
          <w:color w:val="000000" w:themeColor="text1"/>
          <w:szCs w:val="22"/>
          <w:lang w:val="en-US"/>
        </w:rPr>
      </w:pPr>
    </w:p>
    <w:p w14:paraId="1E63DEE9" w14:textId="547C7B0B" w:rsidR="0075069E" w:rsidRPr="00D523C8" w:rsidRDefault="0075069E" w:rsidP="003B745A">
      <w:pPr>
        <w:pStyle w:val="Heading1"/>
        <w:spacing w:after="240"/>
        <w:rPr>
          <w:rFonts w:ascii="Times New Roman" w:hAnsi="Times New Roman" w:cs="Times New Roman"/>
          <w:color w:val="000000" w:themeColor="text1"/>
        </w:rPr>
      </w:pPr>
      <w:r w:rsidRPr="00D523C8">
        <w:rPr>
          <w:rFonts w:ascii="Times New Roman" w:hAnsi="Times New Roman" w:cs="Times New Roman"/>
          <w:color w:val="000000" w:themeColor="text1"/>
        </w:rPr>
        <w:t>A</w:t>
      </w:r>
      <w:r w:rsidR="00F15C5F" w:rsidRPr="00D523C8">
        <w:rPr>
          <w:rFonts w:ascii="Times New Roman" w:hAnsi="Times New Roman" w:cs="Times New Roman"/>
          <w:color w:val="000000" w:themeColor="text1"/>
        </w:rPr>
        <w:t>4</w:t>
      </w:r>
      <w:r w:rsidRPr="00D523C8">
        <w:rPr>
          <w:rFonts w:ascii="Times New Roman" w:hAnsi="Times New Roman" w:cs="Times New Roman"/>
          <w:color w:val="000000" w:themeColor="text1"/>
        </w:rPr>
        <w:t xml:space="preserve"> </w:t>
      </w:r>
      <w:r w:rsidR="008748D3" w:rsidRPr="00D523C8">
        <w:rPr>
          <w:rFonts w:ascii="Times New Roman" w:hAnsi="Times New Roman" w:cs="Times New Roman"/>
          <w:color w:val="000000" w:themeColor="text1"/>
        </w:rPr>
        <w:t>Evolution of the environmental policy mixes</w:t>
      </w:r>
    </w:p>
    <w:p w14:paraId="2EAA5649" w14:textId="4D06DFB4" w:rsidR="00A33133" w:rsidRPr="00D523C8" w:rsidRDefault="00CF2A9B" w:rsidP="00C72D8B">
      <w:pPr>
        <w:pStyle w:val="Heading2"/>
        <w:spacing w:before="120" w:after="1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 xml:space="preserve">4.1 Environmental policy mix </w:t>
      </w:r>
      <w:r w:rsidR="00F03D07">
        <w:rPr>
          <w:rFonts w:ascii="Times New Roman" w:hAnsi="Times New Roman" w:cs="Times New Roman"/>
          <w:color w:val="000000" w:themeColor="text1"/>
        </w:rPr>
        <w:t>between</w:t>
      </w:r>
      <w:r w:rsidR="00F03D07" w:rsidRPr="00D523C8">
        <w:rPr>
          <w:rFonts w:ascii="Times New Roman" w:hAnsi="Times New Roman" w:cs="Times New Roman"/>
          <w:color w:val="000000" w:themeColor="text1"/>
        </w:rPr>
        <w:t xml:space="preserve"> </w:t>
      </w:r>
      <w:r w:rsidR="00A33133" w:rsidRPr="00D523C8">
        <w:rPr>
          <w:rFonts w:ascii="Times New Roman" w:hAnsi="Times New Roman" w:cs="Times New Roman"/>
          <w:color w:val="000000" w:themeColor="text1"/>
        </w:rPr>
        <w:t xml:space="preserve">1981 </w:t>
      </w:r>
      <w:r w:rsidR="00F03D07">
        <w:rPr>
          <w:rFonts w:ascii="Times New Roman" w:hAnsi="Times New Roman" w:cs="Times New Roman"/>
          <w:color w:val="000000" w:themeColor="text1"/>
        </w:rPr>
        <w:t xml:space="preserve">and </w:t>
      </w:r>
      <w:r w:rsidR="00A33133" w:rsidRPr="00D523C8">
        <w:rPr>
          <w:rFonts w:ascii="Times New Roman" w:hAnsi="Times New Roman" w:cs="Times New Roman"/>
          <w:color w:val="000000" w:themeColor="text1"/>
        </w:rPr>
        <w:t xml:space="preserve">1990 (6th and 7th </w:t>
      </w:r>
      <w:r w:rsidR="00D90522">
        <w:rPr>
          <w:rFonts w:ascii="Times New Roman" w:hAnsi="Times New Roman" w:cs="Times New Roman"/>
          <w:color w:val="000000" w:themeColor="text1"/>
        </w:rPr>
        <w:t>Five-Year Plans (</w:t>
      </w:r>
      <w:r w:rsidR="00A33133" w:rsidRPr="00D523C8">
        <w:rPr>
          <w:rFonts w:ascii="Times New Roman" w:hAnsi="Times New Roman" w:cs="Times New Roman"/>
          <w:color w:val="000000" w:themeColor="text1"/>
        </w:rPr>
        <w:t>FYPs</w:t>
      </w:r>
      <w:r w:rsidR="00D90522">
        <w:rPr>
          <w:rFonts w:ascii="Times New Roman" w:hAnsi="Times New Roman" w:cs="Times New Roman"/>
          <w:color w:val="000000" w:themeColor="text1"/>
        </w:rPr>
        <w:t>)</w:t>
      </w:r>
    </w:p>
    <w:p w14:paraId="57BD0C2E" w14:textId="53DE14C5"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4.1.1 The background</w:t>
      </w:r>
    </w:p>
    <w:p w14:paraId="0A891C80" w14:textId="7E97A3FD" w:rsidR="00A33133" w:rsidRPr="00D523C8" w:rsidRDefault="00A33133" w:rsidP="00A33133">
      <w:pPr>
        <w:spacing w:line="360" w:lineRule="auto"/>
        <w:jc w:val="both"/>
        <w:rPr>
          <w:rFonts w:ascii="Times New Roman" w:eastAsia="Times New Roman" w:hAnsi="Times New Roman"/>
          <w:color w:val="000000" w:themeColor="text1"/>
          <w:szCs w:val="22"/>
          <w:lang w:val="en-US"/>
        </w:rPr>
      </w:pPr>
      <w:r w:rsidRPr="00D523C8">
        <w:rPr>
          <w:rFonts w:ascii="Times New Roman" w:hAnsi="Times New Roman"/>
          <w:color w:val="000000" w:themeColor="text1"/>
          <w:szCs w:val="22"/>
          <w:lang w:val="en-US"/>
        </w:rPr>
        <w:t xml:space="preserve">During the 1980s, China underwent a series of economic reforms under the leadership of Deng Xiaoping; rapid economic growth was the primary national goal. In the electricity sector, the </w:t>
      </w:r>
      <w:r w:rsidRPr="00D523C8">
        <w:rPr>
          <w:rFonts w:ascii="Times New Roman" w:hAnsi="Times New Roman"/>
          <w:color w:val="000000" w:themeColor="text1"/>
          <w:szCs w:val="22"/>
          <w:lang w:val="en-US"/>
        </w:rPr>
        <w:lastRenderedPageBreak/>
        <w:t xml:space="preserve">institutions saw a few changes </w:t>
      </w:r>
      <w:r w:rsidR="00F03D07">
        <w:rPr>
          <w:rFonts w:ascii="Times New Roman" w:hAnsi="Times New Roman"/>
          <w:color w:val="000000" w:themeColor="text1"/>
          <w:szCs w:val="22"/>
          <w:lang w:val="en-US"/>
        </w:rPr>
        <w:t>between</w:t>
      </w:r>
      <w:r w:rsidR="00F03D07" w:rsidRPr="00D523C8">
        <w:rPr>
          <w:rFonts w:ascii="Times New Roman" w:hAnsi="Times New Roman"/>
          <w:color w:val="000000" w:themeColor="text1"/>
          <w:szCs w:val="22"/>
          <w:lang w:val="en-US"/>
        </w:rPr>
        <w:t xml:space="preserve"> </w:t>
      </w:r>
      <w:r w:rsidRPr="00D523C8">
        <w:rPr>
          <w:rFonts w:ascii="Times New Roman" w:hAnsi="Times New Roman"/>
          <w:color w:val="000000" w:themeColor="text1"/>
          <w:szCs w:val="22"/>
          <w:lang w:val="en-US"/>
        </w:rPr>
        <w:t>1981</w:t>
      </w:r>
      <w:r w:rsidR="00F03D07">
        <w:rPr>
          <w:rFonts w:ascii="Times New Roman" w:hAnsi="Times New Roman"/>
          <w:color w:val="000000" w:themeColor="text1"/>
          <w:szCs w:val="22"/>
          <w:lang w:val="en-US"/>
        </w:rPr>
        <w:t xml:space="preserve"> and </w:t>
      </w:r>
      <w:r w:rsidRPr="00D523C8">
        <w:rPr>
          <w:rFonts w:ascii="Times New Roman" w:hAnsi="Times New Roman"/>
          <w:color w:val="000000" w:themeColor="text1"/>
          <w:szCs w:val="22"/>
          <w:lang w:val="en-US"/>
        </w:rPr>
        <w:t>1990. In 1982, the Ministry of Water Resources and Electric Power (MWREP) was established</w:t>
      </w:r>
      <w:r w:rsidR="007B69D1">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in 1983, environmental protection became a fundamental state policy of China during the second National Environmental Protection Conference. In 1988, MWREP</w:t>
      </w:r>
      <w:r w:rsidRPr="00D523C8">
        <w:rPr>
          <w:rFonts w:ascii="Times New Roman" w:eastAsia="Times New Roman" w:hAnsi="Times New Roman"/>
          <w:color w:val="000000" w:themeColor="text1"/>
          <w:szCs w:val="22"/>
          <w:lang w:val="en-US"/>
        </w:rPr>
        <w:t xml:space="preserve"> was dismantled and </w:t>
      </w:r>
      <w:r w:rsidRPr="00D523C8">
        <w:rPr>
          <w:rFonts w:ascii="Times New Roman" w:hAnsi="Times New Roman"/>
          <w:color w:val="000000" w:themeColor="text1"/>
          <w:szCs w:val="22"/>
          <w:lang w:val="en-US"/>
        </w:rPr>
        <w:t>the State Environmental Protection Administration (SEPA) was founded as a vice-ministerial</w:t>
      </w:r>
      <w:r w:rsidR="0009094D">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level organization, working directly under the State Council, which is the major policy-making institution. </w:t>
      </w:r>
      <w:r w:rsidRPr="00D523C8">
        <w:rPr>
          <w:rFonts w:ascii="Times New Roman" w:eastAsia="Times New Roman" w:hAnsi="Times New Roman"/>
          <w:color w:val="000000" w:themeColor="text1"/>
          <w:szCs w:val="22"/>
          <w:lang w:val="en-US"/>
        </w:rPr>
        <w:t xml:space="preserve">In 1988, China also established the Ministry of Energy to oversee the oil and gas, electricity, coal and nuclear energy industry, and established the Ministry of Water Resources (MWR) to oversee hydropower development. However, five years later, the Ministry of Energy was dissolved and the Ministry of Electric Power was set up to regulate the electricity industry. </w:t>
      </w:r>
    </w:p>
    <w:p w14:paraId="49172188" w14:textId="09CFACA0"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4.1.2 The policy mix</w:t>
      </w:r>
    </w:p>
    <w:p w14:paraId="0A2E4E8D" w14:textId="523B68E6" w:rsidR="00283DA7" w:rsidRPr="00D523C8" w:rsidRDefault="00283DA7" w:rsidP="00A33133">
      <w:pPr>
        <w:spacing w:line="360" w:lineRule="auto"/>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See Figure 3</w:t>
      </w:r>
      <w:r w:rsidR="001929D5" w:rsidRPr="00D523C8">
        <w:rPr>
          <w:rFonts w:ascii="Times New Roman" w:hAnsi="Times New Roman"/>
          <w:color w:val="000000" w:themeColor="text1"/>
          <w:szCs w:val="22"/>
          <w:lang w:val="en-US"/>
        </w:rPr>
        <w:t xml:space="preserve"> in the main text</w:t>
      </w:r>
      <w:r w:rsidRPr="00D523C8">
        <w:rPr>
          <w:rFonts w:ascii="Times New Roman" w:hAnsi="Times New Roman"/>
          <w:color w:val="000000" w:themeColor="text1"/>
          <w:szCs w:val="22"/>
          <w:lang w:val="en-US"/>
        </w:rPr>
        <w:t xml:space="preserve">. </w:t>
      </w:r>
    </w:p>
    <w:p w14:paraId="176E3FBE" w14:textId="15C623B6" w:rsidR="00A33133" w:rsidRPr="00D523C8" w:rsidRDefault="00A33133" w:rsidP="00EF2AF2">
      <w:pPr>
        <w:spacing w:line="360" w:lineRule="auto"/>
        <w:ind w:firstLine="720"/>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 xml:space="preserve">In 1982, the Chinese government started to implement the pollutant discharge fee </w:t>
      </w:r>
      <w:r w:rsidR="007B69D1">
        <w:rPr>
          <w:rFonts w:ascii="Times New Roman" w:hAnsi="Times New Roman"/>
          <w:color w:val="000000" w:themeColor="text1"/>
          <w:szCs w:val="22"/>
          <w:lang w:val="en-US"/>
        </w:rPr>
        <w:t xml:space="preserve">(PDF) </w:t>
      </w:r>
      <w:r w:rsidRPr="00D523C8">
        <w:rPr>
          <w:rFonts w:ascii="Times New Roman" w:hAnsi="Times New Roman"/>
          <w:color w:val="000000" w:themeColor="text1"/>
          <w:szCs w:val="22"/>
          <w:lang w:val="en-US"/>
        </w:rPr>
        <w:t xml:space="preserve">for </w:t>
      </w:r>
      <w:r w:rsidR="00D90522">
        <w:rPr>
          <w:rFonts w:ascii="Times New Roman" w:hAnsi="Times New Roman"/>
          <w:color w:val="000000" w:themeColor="text1"/>
          <w:szCs w:val="22"/>
          <w:lang w:val="en-US"/>
        </w:rPr>
        <w:t>particulate matter (</w:t>
      </w:r>
      <w:r w:rsidRPr="00D523C8">
        <w:rPr>
          <w:rFonts w:ascii="Times New Roman" w:hAnsi="Times New Roman"/>
          <w:color w:val="000000" w:themeColor="text1"/>
          <w:szCs w:val="22"/>
          <w:lang w:val="en-US"/>
        </w:rPr>
        <w:t>PM</w:t>
      </w:r>
      <w:r w:rsidR="00D90522">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emission abatement, but not for other air pollutants. In 1986, the Environmental Protection Management Measures for Construction Projects</w:t>
      </w:r>
      <w:r w:rsidRPr="00D523C8">
        <w:rPr>
          <w:rFonts w:ascii="Times New Roman" w:hAnsi="Times New Roman"/>
          <w:i/>
          <w:color w:val="000000" w:themeColor="text1"/>
          <w:szCs w:val="22"/>
          <w:lang w:val="en-US"/>
        </w:rPr>
        <w:t xml:space="preserve"> </w:t>
      </w:r>
      <w:r w:rsidRPr="00D523C8">
        <w:rPr>
          <w:rFonts w:ascii="Times New Roman" w:hAnsi="Times New Roman"/>
          <w:color w:val="000000" w:themeColor="text1"/>
          <w:szCs w:val="22"/>
          <w:lang w:val="en-US"/>
        </w:rPr>
        <w:t xml:space="preserve">suggested the application of the </w:t>
      </w:r>
      <w:r w:rsidR="007B69D1">
        <w:rPr>
          <w:rFonts w:ascii="Times New Roman" w:hAnsi="Times New Roman"/>
          <w:color w:val="000000" w:themeColor="text1"/>
          <w:szCs w:val="22"/>
          <w:lang w:val="en-US"/>
        </w:rPr>
        <w:t>environmental impact assessment (</w:t>
      </w:r>
      <w:r w:rsidRPr="00D523C8">
        <w:rPr>
          <w:rFonts w:ascii="Times New Roman" w:hAnsi="Times New Roman"/>
          <w:color w:val="000000" w:themeColor="text1"/>
          <w:szCs w:val="22"/>
          <w:lang w:val="en-US"/>
        </w:rPr>
        <w:t>EIA</w:t>
      </w:r>
      <w:r w:rsidR="007B69D1">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to new, renewed or extended construction projects in all fields. In 1989, the Environmental Protection Law suggested the use of the mandatory deadline as an instrument to enforce the polluters that could not meet the emission limits to reduce their emissions. If they could not meet the deadlines, the polluters would have penalties imposed on them or be forced to shut down. </w:t>
      </w:r>
    </w:p>
    <w:p w14:paraId="7B900D9F" w14:textId="14B792F4" w:rsidR="00A33133" w:rsidRPr="00D523C8" w:rsidRDefault="00A33133" w:rsidP="00A33133">
      <w:pPr>
        <w:spacing w:line="360" w:lineRule="auto"/>
        <w:ind w:firstLine="720"/>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 xml:space="preserve">In the 1980s, </w:t>
      </w:r>
      <w:r w:rsidR="00F36F68" w:rsidRPr="00D523C8">
        <w:rPr>
          <w:rFonts w:ascii="Times New Roman" w:hAnsi="Times New Roman"/>
          <w:lang w:val="en-US"/>
        </w:rPr>
        <w:t>the electricity sector was monopolized by the state</w:t>
      </w:r>
      <w:r w:rsidRPr="00D523C8">
        <w:rPr>
          <w:rFonts w:ascii="Times New Roman" w:hAnsi="Times New Roman"/>
          <w:color w:val="000000" w:themeColor="text1"/>
          <w:szCs w:val="22"/>
          <w:lang w:val="en-US"/>
        </w:rPr>
        <w:t>. For instance, the Administrative Regulations on Hydraulic and Hydropower Projects in 1983 stated that hydropower projects had to meet production targets set by the government. China started to encourage rural hydropower projects to utilize the dispersal of water resources and increase access to electricity in rural areas. At the end of 1983, the State Council and the former MWREP</w:t>
      </w:r>
      <w:r w:rsidRPr="00D523C8" w:rsidDel="00EA08BB">
        <w:rPr>
          <w:rFonts w:ascii="Times New Roman" w:hAnsi="Times New Roman"/>
          <w:color w:val="000000" w:themeColor="text1"/>
          <w:szCs w:val="22"/>
          <w:lang w:val="en-US"/>
        </w:rPr>
        <w:t xml:space="preserve"> </w:t>
      </w:r>
      <w:r w:rsidRPr="00D523C8">
        <w:rPr>
          <w:rFonts w:ascii="Times New Roman" w:hAnsi="Times New Roman"/>
          <w:color w:val="000000" w:themeColor="text1"/>
          <w:szCs w:val="22"/>
          <w:lang w:val="en-US"/>
        </w:rPr>
        <w:t xml:space="preserve">launched a program to develop the 100 rural electrification counties through small-scale hydropower projects. To support the program, the government </w:t>
      </w:r>
      <w:r w:rsidR="00F429A5" w:rsidRPr="00D523C8">
        <w:rPr>
          <w:rFonts w:ascii="Times New Roman" w:hAnsi="Times New Roman"/>
          <w:color w:val="000000" w:themeColor="text1"/>
          <w:szCs w:val="22"/>
          <w:lang w:val="en-US"/>
        </w:rPr>
        <w:t>use</w:t>
      </w:r>
      <w:r w:rsidR="00D90522">
        <w:rPr>
          <w:rFonts w:ascii="Times New Roman" w:hAnsi="Times New Roman"/>
          <w:color w:val="000000" w:themeColor="text1"/>
          <w:szCs w:val="22"/>
          <w:lang w:val="en-US"/>
        </w:rPr>
        <w:t>d</w:t>
      </w:r>
      <w:r w:rsidRPr="00D523C8">
        <w:rPr>
          <w:rFonts w:ascii="Times New Roman" w:hAnsi="Times New Roman"/>
          <w:color w:val="000000" w:themeColor="text1"/>
          <w:szCs w:val="22"/>
          <w:lang w:val="en-US"/>
        </w:rPr>
        <w:t xml:space="preserve"> measur</w:t>
      </w:r>
      <w:r w:rsidR="00D90522">
        <w:rPr>
          <w:rFonts w:ascii="Times New Roman" w:hAnsi="Times New Roman"/>
          <w:color w:val="000000" w:themeColor="text1"/>
          <w:szCs w:val="22"/>
          <w:lang w:val="en-US"/>
        </w:rPr>
        <w:t>e</w:t>
      </w:r>
      <w:r w:rsidRPr="00D523C8">
        <w:rPr>
          <w:rFonts w:ascii="Times New Roman" w:hAnsi="Times New Roman"/>
          <w:color w:val="000000" w:themeColor="text1"/>
          <w:szCs w:val="22"/>
          <w:lang w:val="en-US"/>
        </w:rPr>
        <w:t>s such as preferential tax, concessional loan, material and technical support and direct subsidies. In 1986, the Regulations on the Price of Small Hydropower suggested that the local governments could set the electricity tariff for small hydropower based on the principle of “cost plus reasonable profit</w:t>
      </w:r>
      <w:r w:rsidR="00D90522">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w:t>
      </w:r>
    </w:p>
    <w:p w14:paraId="60679667" w14:textId="06E63076" w:rsidR="00A33133" w:rsidRPr="00D523C8" w:rsidRDefault="00CF2A9B" w:rsidP="00A33133">
      <w:pPr>
        <w:pStyle w:val="Heading2"/>
        <w:spacing w:before="120" w:after="120"/>
        <w:rPr>
          <w:rFonts w:ascii="Times New Roman" w:hAnsi="Times New Roman" w:cs="Times New Roman"/>
          <w:color w:val="000000" w:themeColor="text1"/>
        </w:rPr>
      </w:pPr>
      <w:r w:rsidRPr="00D523C8">
        <w:rPr>
          <w:rFonts w:ascii="Times New Roman" w:hAnsi="Times New Roman" w:cs="Times New Roman"/>
          <w:color w:val="000000" w:themeColor="text1"/>
        </w:rPr>
        <w:lastRenderedPageBreak/>
        <w:t>A</w:t>
      </w:r>
      <w:r w:rsidR="00A33133" w:rsidRPr="00D523C8">
        <w:rPr>
          <w:rFonts w:ascii="Times New Roman" w:hAnsi="Times New Roman" w:cs="Times New Roman"/>
          <w:color w:val="000000" w:themeColor="text1"/>
        </w:rPr>
        <w:t xml:space="preserve">4.2 Environmental policy mix </w:t>
      </w:r>
      <w:r w:rsidR="00D90522">
        <w:rPr>
          <w:rFonts w:ascii="Times New Roman" w:hAnsi="Times New Roman" w:cs="Times New Roman"/>
          <w:color w:val="000000" w:themeColor="text1"/>
        </w:rPr>
        <w:t>between</w:t>
      </w:r>
      <w:r w:rsidR="00D90522" w:rsidRPr="00D523C8">
        <w:rPr>
          <w:rFonts w:ascii="Times New Roman" w:hAnsi="Times New Roman" w:cs="Times New Roman"/>
          <w:color w:val="000000" w:themeColor="text1"/>
        </w:rPr>
        <w:t xml:space="preserve"> </w:t>
      </w:r>
      <w:r w:rsidR="00A33133" w:rsidRPr="00D523C8">
        <w:rPr>
          <w:rFonts w:ascii="Times New Roman" w:hAnsi="Times New Roman" w:cs="Times New Roman"/>
          <w:color w:val="000000" w:themeColor="text1"/>
        </w:rPr>
        <w:t xml:space="preserve">1991 </w:t>
      </w:r>
      <w:r w:rsidR="00D90522">
        <w:rPr>
          <w:rFonts w:ascii="Times New Roman" w:hAnsi="Times New Roman" w:cs="Times New Roman"/>
          <w:color w:val="000000" w:themeColor="text1"/>
        </w:rPr>
        <w:t>and</w:t>
      </w:r>
      <w:r w:rsidR="00D90522" w:rsidRPr="00D523C8">
        <w:rPr>
          <w:rFonts w:ascii="Times New Roman" w:hAnsi="Times New Roman" w:cs="Times New Roman"/>
          <w:color w:val="000000" w:themeColor="text1"/>
        </w:rPr>
        <w:t xml:space="preserve"> </w:t>
      </w:r>
      <w:r w:rsidR="00A33133" w:rsidRPr="00D523C8">
        <w:rPr>
          <w:rFonts w:ascii="Times New Roman" w:hAnsi="Times New Roman" w:cs="Times New Roman"/>
          <w:color w:val="000000" w:themeColor="text1"/>
        </w:rPr>
        <w:t>1995 (8th FYP)</w:t>
      </w:r>
    </w:p>
    <w:p w14:paraId="0101E130" w14:textId="43EC8215"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4.2.1 The background</w:t>
      </w:r>
    </w:p>
    <w:p w14:paraId="402893E7" w14:textId="77777777" w:rsidR="00A33133" w:rsidRPr="00D523C8" w:rsidRDefault="00A33133" w:rsidP="00A33133">
      <w:pPr>
        <w:spacing w:line="360" w:lineRule="auto"/>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 xml:space="preserve">Radical economic reforms continued in the 1990s under the leadership of Deng Xiaoping, who was followed by Jiang Zemin. Nonetheless, China still ratified the United Nations Framework Convention on Climate Change (UNFCCC) in 1993, which became effective in 1994. </w:t>
      </w:r>
    </w:p>
    <w:p w14:paraId="6FBED7DD" w14:textId="54785D99"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4.2.</w:t>
      </w:r>
      <w:r w:rsidR="00136D92" w:rsidRPr="00D523C8">
        <w:rPr>
          <w:rFonts w:ascii="Times New Roman" w:hAnsi="Times New Roman" w:cs="Times New Roman"/>
          <w:color w:val="000000" w:themeColor="text1"/>
        </w:rPr>
        <w:t>2</w:t>
      </w:r>
      <w:r w:rsidR="00A33133" w:rsidRPr="00D523C8">
        <w:rPr>
          <w:rFonts w:ascii="Times New Roman" w:hAnsi="Times New Roman" w:cs="Times New Roman"/>
          <w:color w:val="000000" w:themeColor="text1"/>
        </w:rPr>
        <w:t xml:space="preserve"> The policy mix</w:t>
      </w:r>
    </w:p>
    <w:p w14:paraId="69319B90" w14:textId="1542560D" w:rsidR="004F2980" w:rsidRPr="00D523C8" w:rsidRDefault="00B718F5" w:rsidP="005959C3">
      <w:pPr>
        <w:spacing w:line="360" w:lineRule="auto"/>
        <w:jc w:val="center"/>
        <w:rPr>
          <w:rFonts w:ascii="Times New Roman" w:hAnsi="Times New Roman"/>
          <w:color w:val="000000" w:themeColor="text1"/>
          <w:szCs w:val="22"/>
          <w:lang w:val="en-US"/>
        </w:rPr>
      </w:pPr>
      <w:r w:rsidRPr="00D523C8">
        <w:rPr>
          <w:rFonts w:ascii="Times New Roman" w:hAnsi="Times New Roman"/>
          <w:noProof/>
          <w:color w:val="000000" w:themeColor="text1"/>
          <w:szCs w:val="22"/>
          <w:lang w:val="en-US"/>
        </w:rPr>
        <w:drawing>
          <wp:inline distT="0" distB="0" distL="0" distR="0" wp14:anchorId="2CEBF462" wp14:editId="47C900AB">
            <wp:extent cx="5440575" cy="475221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icy mix_1991-1995_6Jan2020.png"/>
                    <pic:cNvPicPr/>
                  </pic:nvPicPr>
                  <pic:blipFill rotWithShape="1">
                    <a:blip r:embed="rId7" cstate="print">
                      <a:extLst>
                        <a:ext uri="{28A0092B-C50C-407E-A947-70E740481C1C}">
                          <a14:useLocalDpi xmlns:a14="http://schemas.microsoft.com/office/drawing/2010/main" val="0"/>
                        </a:ext>
                      </a:extLst>
                    </a:blip>
                    <a:srcRect r="28085"/>
                    <a:stretch/>
                  </pic:blipFill>
                  <pic:spPr bwMode="auto">
                    <a:xfrm>
                      <a:off x="0" y="0"/>
                      <a:ext cx="5454336" cy="4764230"/>
                    </a:xfrm>
                    <a:prstGeom prst="rect">
                      <a:avLst/>
                    </a:prstGeom>
                    <a:ln>
                      <a:noFill/>
                    </a:ln>
                    <a:extLst>
                      <a:ext uri="{53640926-AAD7-44D8-BBD7-CCE9431645EC}">
                        <a14:shadowObscured xmlns:a14="http://schemas.microsoft.com/office/drawing/2010/main"/>
                      </a:ext>
                    </a:extLst>
                  </pic:spPr>
                </pic:pic>
              </a:graphicData>
            </a:graphic>
          </wp:inline>
        </w:drawing>
      </w:r>
    </w:p>
    <w:p w14:paraId="2F959A25" w14:textId="21AAC4DC" w:rsidR="00E302A5" w:rsidRPr="00D523C8" w:rsidRDefault="00E302A5" w:rsidP="0021235B">
      <w:pPr>
        <w:spacing w:line="360" w:lineRule="auto"/>
        <w:jc w:val="center"/>
        <w:rPr>
          <w:rFonts w:ascii="Times New Roman" w:hAnsi="Times New Roman"/>
          <w:color w:val="000000" w:themeColor="text1"/>
          <w:szCs w:val="22"/>
          <w:lang w:val="en-US"/>
        </w:rPr>
      </w:pPr>
      <w:r w:rsidRPr="00D523C8">
        <w:rPr>
          <w:rFonts w:ascii="Times New Roman" w:hAnsi="Times New Roman"/>
          <w:color w:val="000000" w:themeColor="text1"/>
          <w:szCs w:val="22"/>
          <w:lang w:val="en-US"/>
        </w:rPr>
        <w:t xml:space="preserve">Figure </w:t>
      </w:r>
      <w:r w:rsidR="009937B1" w:rsidRPr="00D523C8">
        <w:rPr>
          <w:rFonts w:ascii="Times New Roman" w:hAnsi="Times New Roman"/>
          <w:color w:val="000000" w:themeColor="text1"/>
          <w:szCs w:val="22"/>
          <w:lang w:val="en-US"/>
        </w:rPr>
        <w:t>A1</w:t>
      </w:r>
      <w:r w:rsidRPr="00D523C8">
        <w:rPr>
          <w:rFonts w:ascii="Times New Roman" w:hAnsi="Times New Roman"/>
          <w:color w:val="000000" w:themeColor="text1"/>
          <w:szCs w:val="22"/>
          <w:lang w:val="en-US"/>
        </w:rPr>
        <w:t>. Policy mix</w:t>
      </w:r>
      <w:r w:rsidR="00D90522">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19</w:t>
      </w:r>
      <w:r w:rsidR="003A6F66" w:rsidRPr="00D523C8">
        <w:rPr>
          <w:rFonts w:ascii="Times New Roman" w:hAnsi="Times New Roman"/>
          <w:color w:val="000000" w:themeColor="text1"/>
          <w:szCs w:val="22"/>
          <w:lang w:val="en-US"/>
        </w:rPr>
        <w:t>9</w:t>
      </w:r>
      <w:r w:rsidRPr="00D523C8">
        <w:rPr>
          <w:rFonts w:ascii="Times New Roman" w:hAnsi="Times New Roman"/>
          <w:color w:val="000000" w:themeColor="text1"/>
          <w:szCs w:val="22"/>
          <w:lang w:val="en-US"/>
        </w:rPr>
        <w:t>1</w:t>
      </w:r>
      <w:r w:rsidR="00D90522">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199</w:t>
      </w:r>
      <w:r w:rsidR="003A6F66" w:rsidRPr="00D523C8">
        <w:rPr>
          <w:rFonts w:ascii="Times New Roman" w:hAnsi="Times New Roman"/>
          <w:color w:val="000000" w:themeColor="text1"/>
          <w:szCs w:val="22"/>
          <w:lang w:val="en-US"/>
        </w:rPr>
        <w:t>5</w:t>
      </w:r>
    </w:p>
    <w:p w14:paraId="3B42BF2B" w14:textId="4A1ADEC5" w:rsidR="00E66E28" w:rsidRPr="00D523C8" w:rsidRDefault="00E66E28" w:rsidP="00E66E28">
      <w:pPr>
        <w:spacing w:after="120"/>
        <w:ind w:left="709" w:firstLine="11"/>
        <w:rPr>
          <w:rFonts w:ascii="Times New Roman" w:hAnsi="Times New Roman"/>
          <w:sz w:val="18"/>
          <w:szCs w:val="20"/>
          <w:lang w:val="en-US"/>
        </w:rPr>
      </w:pPr>
      <w:r w:rsidRPr="00D523C8">
        <w:rPr>
          <w:rFonts w:ascii="Times New Roman" w:hAnsi="Times New Roman"/>
          <w:sz w:val="18"/>
          <w:szCs w:val="20"/>
          <w:lang w:val="en-US"/>
        </w:rPr>
        <w:t xml:space="preserve">Note: </w:t>
      </w:r>
      <w:r w:rsidR="00D90522">
        <w:rPr>
          <w:rFonts w:ascii="Times New Roman" w:hAnsi="Times New Roman"/>
          <w:sz w:val="18"/>
          <w:szCs w:val="20"/>
          <w:lang w:val="en-US"/>
        </w:rPr>
        <w:t>T</w:t>
      </w:r>
      <w:r w:rsidRPr="00D523C8">
        <w:rPr>
          <w:rFonts w:ascii="Times New Roman" w:hAnsi="Times New Roman"/>
          <w:sz w:val="18"/>
          <w:szCs w:val="20"/>
          <w:lang w:val="en-US"/>
        </w:rPr>
        <w:t>he letters in the square brackets show the policy instrument types according to the NATO model. “N”</w:t>
      </w:r>
      <w:r w:rsidR="00D90522">
        <w:rPr>
          <w:rFonts w:ascii="Times New Roman" w:hAnsi="Times New Roman"/>
          <w:sz w:val="18"/>
          <w:szCs w:val="20"/>
          <w:lang w:val="en-US"/>
        </w:rPr>
        <w:t xml:space="preserve"> –</w:t>
      </w:r>
      <w:r w:rsidRPr="00D523C8">
        <w:rPr>
          <w:rFonts w:ascii="Times New Roman" w:hAnsi="Times New Roman"/>
          <w:sz w:val="18"/>
          <w:szCs w:val="20"/>
          <w:lang w:val="en-US"/>
        </w:rPr>
        <w:t xml:space="preserve"> </w:t>
      </w:r>
      <w:proofErr w:type="spellStart"/>
      <w:r w:rsidRPr="00D523C8">
        <w:rPr>
          <w:rFonts w:ascii="Times New Roman" w:hAnsi="Times New Roman"/>
          <w:sz w:val="18"/>
          <w:szCs w:val="20"/>
          <w:lang w:val="en-US"/>
        </w:rPr>
        <w:t>nodality</w:t>
      </w:r>
      <w:proofErr w:type="spellEnd"/>
      <w:r w:rsidRPr="00D523C8">
        <w:rPr>
          <w:rFonts w:ascii="Times New Roman" w:hAnsi="Times New Roman"/>
          <w:sz w:val="18"/>
          <w:szCs w:val="20"/>
          <w:lang w:val="en-US"/>
        </w:rPr>
        <w:t>; “A”</w:t>
      </w:r>
      <w:r w:rsidR="00D90522">
        <w:rPr>
          <w:rFonts w:ascii="Times New Roman" w:hAnsi="Times New Roman"/>
          <w:sz w:val="18"/>
          <w:szCs w:val="20"/>
          <w:lang w:val="en-US"/>
        </w:rPr>
        <w:t xml:space="preserve"> –</w:t>
      </w:r>
      <w:r w:rsidRPr="00D523C8">
        <w:rPr>
          <w:rFonts w:ascii="Times New Roman" w:hAnsi="Times New Roman"/>
          <w:sz w:val="18"/>
          <w:szCs w:val="20"/>
          <w:lang w:val="en-US"/>
        </w:rPr>
        <w:t xml:space="preserve"> authority; “T”</w:t>
      </w:r>
      <w:r w:rsidR="00D90522">
        <w:rPr>
          <w:rFonts w:ascii="Times New Roman" w:hAnsi="Times New Roman"/>
          <w:sz w:val="18"/>
          <w:szCs w:val="20"/>
          <w:lang w:val="en-US"/>
        </w:rPr>
        <w:t xml:space="preserve"> –</w:t>
      </w:r>
      <w:r w:rsidRPr="00D523C8">
        <w:rPr>
          <w:rFonts w:ascii="Times New Roman" w:hAnsi="Times New Roman"/>
          <w:sz w:val="18"/>
          <w:szCs w:val="20"/>
          <w:lang w:val="en-US"/>
        </w:rPr>
        <w:t xml:space="preserve"> treasure; </w:t>
      </w:r>
      <w:r w:rsidR="00D90522">
        <w:rPr>
          <w:rFonts w:ascii="Times New Roman" w:hAnsi="Times New Roman"/>
          <w:sz w:val="18"/>
          <w:szCs w:val="20"/>
          <w:lang w:val="en-US"/>
        </w:rPr>
        <w:t xml:space="preserve">and </w:t>
      </w:r>
      <w:r w:rsidRPr="00D523C8">
        <w:rPr>
          <w:rFonts w:ascii="Times New Roman" w:hAnsi="Times New Roman"/>
          <w:sz w:val="18"/>
          <w:szCs w:val="20"/>
          <w:lang w:val="en-US"/>
        </w:rPr>
        <w:t>“O”</w:t>
      </w:r>
      <w:r w:rsidR="00D90522">
        <w:rPr>
          <w:rFonts w:ascii="Times New Roman" w:hAnsi="Times New Roman"/>
          <w:sz w:val="18"/>
          <w:szCs w:val="20"/>
          <w:lang w:val="en-US"/>
        </w:rPr>
        <w:t xml:space="preserve"> –</w:t>
      </w:r>
      <w:r w:rsidRPr="00D523C8">
        <w:rPr>
          <w:rFonts w:ascii="Times New Roman" w:hAnsi="Times New Roman"/>
          <w:sz w:val="18"/>
          <w:szCs w:val="20"/>
          <w:lang w:val="en-US"/>
        </w:rPr>
        <w:t xml:space="preserve"> organization. * denotes that the program involves multiple types of policy instrument.</w:t>
      </w:r>
    </w:p>
    <w:p w14:paraId="3D87259C" w14:textId="77777777" w:rsidR="00E66E28" w:rsidRPr="00D523C8" w:rsidRDefault="00E66E28" w:rsidP="0021235B">
      <w:pPr>
        <w:spacing w:line="360" w:lineRule="auto"/>
        <w:jc w:val="center"/>
        <w:rPr>
          <w:rFonts w:ascii="Times New Roman" w:hAnsi="Times New Roman"/>
          <w:color w:val="000000" w:themeColor="text1"/>
          <w:szCs w:val="22"/>
          <w:lang w:val="en-US"/>
        </w:rPr>
      </w:pPr>
    </w:p>
    <w:p w14:paraId="076C2184" w14:textId="03E102F0" w:rsidR="00A33133" w:rsidRPr="00D523C8" w:rsidRDefault="00A33133" w:rsidP="00A33133">
      <w:pPr>
        <w:spacing w:line="360" w:lineRule="auto"/>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 xml:space="preserve">China started to apply the </w:t>
      </w:r>
      <w:r w:rsidR="007B69D1">
        <w:rPr>
          <w:rFonts w:ascii="Times New Roman" w:hAnsi="Times New Roman"/>
          <w:color w:val="000000" w:themeColor="text1"/>
          <w:szCs w:val="22"/>
          <w:lang w:val="en-US"/>
        </w:rPr>
        <w:t>PDF</w:t>
      </w:r>
      <w:r w:rsidRPr="00D523C8">
        <w:rPr>
          <w:rFonts w:ascii="Times New Roman" w:hAnsi="Times New Roman"/>
          <w:color w:val="000000" w:themeColor="text1"/>
          <w:szCs w:val="22"/>
          <w:lang w:val="en-US"/>
        </w:rPr>
        <w:t xml:space="preserve"> to SO</w:t>
      </w:r>
      <w:r w:rsidRPr="00D523C8">
        <w:rPr>
          <w:rFonts w:ascii="Times New Roman" w:hAnsi="Times New Roman"/>
          <w:color w:val="000000" w:themeColor="text1"/>
          <w:szCs w:val="22"/>
          <w:vertAlign w:val="subscript"/>
          <w:lang w:val="en-US"/>
        </w:rPr>
        <w:t>2</w:t>
      </w:r>
      <w:r w:rsidRPr="00D523C8">
        <w:rPr>
          <w:rFonts w:ascii="Times New Roman" w:hAnsi="Times New Roman"/>
          <w:color w:val="000000" w:themeColor="text1"/>
          <w:szCs w:val="22"/>
          <w:lang w:val="en-US"/>
        </w:rPr>
        <w:t xml:space="preserve"> in some pilot schemes. The SO</w:t>
      </w:r>
      <w:r w:rsidRPr="00D523C8">
        <w:rPr>
          <w:rFonts w:ascii="Times New Roman" w:hAnsi="Times New Roman"/>
          <w:color w:val="000000" w:themeColor="text1"/>
          <w:szCs w:val="22"/>
          <w:vertAlign w:val="subscript"/>
          <w:lang w:val="en-US"/>
        </w:rPr>
        <w:t>2</w:t>
      </w:r>
      <w:r w:rsidRPr="00D523C8">
        <w:rPr>
          <w:rFonts w:ascii="Times New Roman" w:hAnsi="Times New Roman"/>
          <w:color w:val="000000" w:themeColor="text1"/>
          <w:szCs w:val="22"/>
          <w:lang w:val="en-US"/>
        </w:rPr>
        <w:t xml:space="preserve"> discharge fee was applicable to coal-fired power plants and other industrial sectors that consumed coal, and the charging rate was no more than 0.2 yuan/kg. To encourage small rural hydropower, the State Council and the MWR announced a decision in 1991 to develop an additional 200 rural electrification counties through building small hydropower projects. The project developers </w:t>
      </w:r>
      <w:r w:rsidRPr="00D523C8">
        <w:rPr>
          <w:rFonts w:ascii="Times New Roman" w:hAnsi="Times New Roman"/>
          <w:color w:val="000000" w:themeColor="text1"/>
          <w:szCs w:val="22"/>
          <w:lang w:val="en-US"/>
        </w:rPr>
        <w:lastRenderedPageBreak/>
        <w:t xml:space="preserve">were required to allocate 0.02 yuan/kWh of the generated electricity to establish a Rural Hydropower Development Fund, which could be used for future rural hydropower development. </w:t>
      </w:r>
    </w:p>
    <w:p w14:paraId="5A4E6B8A" w14:textId="5C03ED23" w:rsidR="00A33133" w:rsidRPr="00D523C8" w:rsidRDefault="00CF2A9B" w:rsidP="00A33133">
      <w:pPr>
        <w:pStyle w:val="Heading2"/>
        <w:spacing w:before="120" w:after="1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 xml:space="preserve">4.3 Environmental policy mix </w:t>
      </w:r>
      <w:r w:rsidR="00D90522">
        <w:rPr>
          <w:rFonts w:ascii="Times New Roman" w:hAnsi="Times New Roman" w:cs="Times New Roman"/>
          <w:color w:val="000000" w:themeColor="text1"/>
        </w:rPr>
        <w:t>between</w:t>
      </w:r>
      <w:r w:rsidR="00D90522" w:rsidRPr="00D523C8">
        <w:rPr>
          <w:rFonts w:ascii="Times New Roman" w:hAnsi="Times New Roman" w:cs="Times New Roman"/>
          <w:color w:val="000000" w:themeColor="text1"/>
        </w:rPr>
        <w:t xml:space="preserve"> </w:t>
      </w:r>
      <w:r w:rsidR="00A33133" w:rsidRPr="00D523C8">
        <w:rPr>
          <w:rFonts w:ascii="Times New Roman" w:hAnsi="Times New Roman" w:cs="Times New Roman"/>
          <w:color w:val="000000" w:themeColor="text1"/>
        </w:rPr>
        <w:t xml:space="preserve">1996 </w:t>
      </w:r>
      <w:r w:rsidR="00D90522">
        <w:rPr>
          <w:rFonts w:ascii="Times New Roman" w:hAnsi="Times New Roman" w:cs="Times New Roman"/>
          <w:color w:val="000000" w:themeColor="text1"/>
        </w:rPr>
        <w:t xml:space="preserve">and </w:t>
      </w:r>
      <w:r w:rsidR="00A33133" w:rsidRPr="00D523C8">
        <w:rPr>
          <w:rFonts w:ascii="Times New Roman" w:hAnsi="Times New Roman" w:cs="Times New Roman"/>
          <w:color w:val="000000" w:themeColor="text1"/>
        </w:rPr>
        <w:t>2000 (9th FYP)</w:t>
      </w:r>
    </w:p>
    <w:p w14:paraId="0D807BE1" w14:textId="3068C1C8"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4.3.1 The background</w:t>
      </w:r>
    </w:p>
    <w:p w14:paraId="151D2C0D" w14:textId="7427B65F" w:rsidR="00A33133" w:rsidRPr="00D523C8" w:rsidRDefault="00A33133" w:rsidP="00A33133">
      <w:pPr>
        <w:spacing w:line="360" w:lineRule="auto"/>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In 1998, SEPA was upgraded from vice-ministerial</w:t>
      </w:r>
      <w:r w:rsidR="0009094D">
        <w:rPr>
          <w:rFonts w:ascii="Times New Roman" w:hAnsi="Times New Roman"/>
          <w:color w:val="000000" w:themeColor="text1"/>
          <w:szCs w:val="22"/>
          <w:lang w:val="en-US"/>
        </w:rPr>
        <w:t xml:space="preserve"> </w:t>
      </w:r>
      <w:r w:rsidRPr="00D523C8">
        <w:rPr>
          <w:rFonts w:ascii="Times New Roman" w:hAnsi="Times New Roman"/>
          <w:color w:val="000000" w:themeColor="text1"/>
          <w:szCs w:val="22"/>
          <w:lang w:val="en-US"/>
        </w:rPr>
        <w:t>level to ministerial</w:t>
      </w:r>
      <w:r w:rsidR="0009094D">
        <w:rPr>
          <w:rFonts w:ascii="Times New Roman" w:hAnsi="Times New Roman"/>
          <w:color w:val="000000" w:themeColor="text1"/>
          <w:szCs w:val="22"/>
          <w:lang w:val="en-US"/>
        </w:rPr>
        <w:t xml:space="preserve"> </w:t>
      </w:r>
      <w:r w:rsidRPr="00D523C8">
        <w:rPr>
          <w:rFonts w:ascii="Times New Roman" w:hAnsi="Times New Roman"/>
          <w:color w:val="000000" w:themeColor="text1"/>
          <w:szCs w:val="22"/>
          <w:lang w:val="en-US"/>
        </w:rPr>
        <w:t xml:space="preserve">level, meaning that SEPA became more powerful when implementing environmental policies. </w:t>
      </w:r>
      <w:r w:rsidRPr="00D523C8">
        <w:rPr>
          <w:rFonts w:ascii="Times New Roman" w:eastAsia="Times New Roman" w:hAnsi="Times New Roman"/>
          <w:color w:val="000000" w:themeColor="text1"/>
          <w:szCs w:val="22"/>
          <w:lang w:val="en-US"/>
        </w:rPr>
        <w:t xml:space="preserve">In the electricity sector, the Ministry of Electric Power was dissolved in 1998; its functions were taken over by the State Economic and Trade Commission (SETC) and the State Power Corporation, which aimed to separate the government regulatory functions and commercial activities </w:t>
      </w:r>
      <w:r w:rsidRPr="00D523C8">
        <w:rPr>
          <w:rFonts w:ascii="Times New Roman" w:eastAsia="Times New Roman" w:hAnsi="Times New Roman"/>
          <w:color w:val="000000" w:themeColor="text1"/>
          <w:szCs w:val="22"/>
          <w:lang w:val="en-US"/>
        </w:rPr>
        <w:fldChar w:fldCharType="begin" w:fldLock="1"/>
      </w:r>
      <w:r w:rsidR="005C5928" w:rsidRPr="00D523C8">
        <w:rPr>
          <w:rFonts w:ascii="Times New Roman" w:eastAsia="Times New Roman" w:hAnsi="Times New Roman"/>
          <w:color w:val="000000" w:themeColor="text1"/>
          <w:szCs w:val="22"/>
          <w:lang w:val="en-US"/>
        </w:rPr>
        <w:instrText>ADDIN CSL_CITATION {"citationItems":[{"id":"ITEM-1","itemData":{"DOI":"10.1080/10361140020032223","author":[{"dropping-particle":"","family":"Xu","given":"Yi-Chong","non-dropping-particle":"","parse-names":false,"suffix":""}],"container-title":"Australian Journal of Political Science","id":"ITEM-1","issue":"1","issued":{"date-parts":[["2001"]]},"page":"123-143","title":"A powerhouse reform: Conversion from the Ministry of Electric Power to the State Power Corporation of China","type":"article-journal","volume":"36"},"uris":["http://www.mendeley.com/documents/?uuid=8a75c3bc-aec4-4fb3-8bec-0b6b9c74a01e"]},{"id":"ITEM-2","itemData":{"DOI":"10.1016/j.enpol.2012.08.039","ISBN":"0301-4215","ISSN":"03014215","abstract":"The market-oriented reform in electricity industry has become a global trend since 1980s. Although China's electricity industry has been reformed since 1978, the substantial reform has not been conducted until 1985. Before 1985, China's power industry had been absolutely monopolized by the central state-owned companies. The absolute monopoly has been broken since 1985, when the Chinese government opened doors for non-central state-owned investment entities and foreign investors in power supplies in order to solve the chronic power shortage. In 2002, the comprehensive electricity reform plan entitled Scheme of the Reform for Power Industry was enacted. However, implementation of this plan was delayed due to electricity supply shortages. Even worse, a new kind of monopoly has been developed under the background \"the state advances, the private sector retreats\" in late years. In some sense, the former absolute monopoly has transformed the current relative monopoly. We contend that the relative monopoly has reversed the market-oriented reform in China's electric industry. If the relative monopoly remains unchanged, it will be harmful to public welfare. © 2012 Elsevier Ltd.","author":[{"dropping-particle":"","family":"Wang","given":"Qiang","non-dropping-particle":"","parse-names":false,"suffix":""},{"dropping-particle":"","family":"Chen","given":"Xi","non-dropping-particle":"","parse-names":false,"suffix":""}],"container-title":"Energy Policy","id":"ITEM-2","issued":{"date-parts":[["2012"]]},"page":"143-148","publisher":"Elsevier","title":"China's electricity market-oriented reform: From an absolute to a relative monopoly","type":"article-journal","volume":"51"},"uris":["http://www.mendeley.com/documents/?uuid=7e09bc9f-e77f-42f2-9aeb-8db19e797bc3"]}],"mendeley":{"formattedCitation":"[11,12]","plainTextFormattedCitation":"[11,12]","previouslyFormattedCitation":"[11,12]"},"properties":{"noteIndex":0},"schema":"https://github.com/citation-style-language/schema/raw/master/csl-citation.json"}</w:instrText>
      </w:r>
      <w:r w:rsidRPr="00D523C8">
        <w:rPr>
          <w:rFonts w:ascii="Times New Roman" w:eastAsia="Times New Roman" w:hAnsi="Times New Roman"/>
          <w:color w:val="000000" w:themeColor="text1"/>
          <w:szCs w:val="22"/>
          <w:lang w:val="en-US"/>
        </w:rPr>
        <w:fldChar w:fldCharType="separate"/>
      </w:r>
      <w:r w:rsidR="004A4F46" w:rsidRPr="00D523C8">
        <w:rPr>
          <w:rFonts w:ascii="Times New Roman" w:eastAsia="Times New Roman" w:hAnsi="Times New Roman"/>
          <w:noProof/>
          <w:color w:val="000000" w:themeColor="text1"/>
          <w:szCs w:val="22"/>
          <w:lang w:val="en-US"/>
        </w:rPr>
        <w:t>[11,12]</w:t>
      </w:r>
      <w:r w:rsidRPr="00D523C8">
        <w:rPr>
          <w:rFonts w:ascii="Times New Roman" w:eastAsia="Times New Roman" w:hAnsi="Times New Roman"/>
          <w:color w:val="000000" w:themeColor="text1"/>
          <w:szCs w:val="22"/>
          <w:lang w:val="en-US"/>
        </w:rPr>
        <w:fldChar w:fldCharType="end"/>
      </w:r>
      <w:r w:rsidRPr="00D523C8">
        <w:rPr>
          <w:rFonts w:ascii="Times New Roman" w:hAnsi="Times New Roman"/>
          <w:color w:val="000000" w:themeColor="text1"/>
          <w:szCs w:val="22"/>
          <w:lang w:val="en-US"/>
        </w:rPr>
        <w:t xml:space="preserve">. At the international level, China signed the Kyoto Protocol in 1998, which came into effect in February 2005. </w:t>
      </w:r>
    </w:p>
    <w:p w14:paraId="1B2FA2E0" w14:textId="3DDED067"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4.3.2 The policy mix</w:t>
      </w:r>
    </w:p>
    <w:p w14:paraId="2731F3AF" w14:textId="147CDA65" w:rsidR="00FC492B" w:rsidRPr="00D523C8" w:rsidRDefault="001868FD" w:rsidP="0075442D">
      <w:pPr>
        <w:spacing w:line="360" w:lineRule="auto"/>
        <w:jc w:val="center"/>
        <w:rPr>
          <w:rFonts w:ascii="Times New Roman" w:hAnsi="Times New Roman"/>
          <w:color w:val="000000" w:themeColor="text1"/>
          <w:szCs w:val="22"/>
          <w:lang w:val="en-US"/>
        </w:rPr>
      </w:pPr>
      <w:r w:rsidRPr="00D523C8">
        <w:rPr>
          <w:rFonts w:ascii="Times New Roman" w:hAnsi="Times New Roman"/>
          <w:noProof/>
          <w:color w:val="000000" w:themeColor="text1"/>
          <w:szCs w:val="22"/>
          <w:lang w:val="en-US"/>
        </w:rPr>
        <w:drawing>
          <wp:inline distT="0" distB="0" distL="0" distR="0" wp14:anchorId="14D32278" wp14:editId="0353CA5C">
            <wp:extent cx="5534820" cy="4952444"/>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icy mix_1996-2000_6Jan2020.png"/>
                    <pic:cNvPicPr/>
                  </pic:nvPicPr>
                  <pic:blipFill rotWithShape="1">
                    <a:blip r:embed="rId8" cstate="print">
                      <a:extLst>
                        <a:ext uri="{28A0092B-C50C-407E-A947-70E740481C1C}">
                          <a14:useLocalDpi xmlns:a14="http://schemas.microsoft.com/office/drawing/2010/main" val="0"/>
                        </a:ext>
                      </a:extLst>
                    </a:blip>
                    <a:srcRect r="18089"/>
                    <a:stretch/>
                  </pic:blipFill>
                  <pic:spPr bwMode="auto">
                    <a:xfrm>
                      <a:off x="0" y="0"/>
                      <a:ext cx="5550933" cy="4966862"/>
                    </a:xfrm>
                    <a:prstGeom prst="rect">
                      <a:avLst/>
                    </a:prstGeom>
                    <a:ln>
                      <a:noFill/>
                    </a:ln>
                    <a:extLst>
                      <a:ext uri="{53640926-AAD7-44D8-BBD7-CCE9431645EC}">
                        <a14:shadowObscured xmlns:a14="http://schemas.microsoft.com/office/drawing/2010/main"/>
                      </a:ext>
                    </a:extLst>
                  </pic:spPr>
                </pic:pic>
              </a:graphicData>
            </a:graphic>
          </wp:inline>
        </w:drawing>
      </w:r>
    </w:p>
    <w:p w14:paraId="26E5D844" w14:textId="4B0B6C79" w:rsidR="001B579C" w:rsidRPr="00D523C8" w:rsidRDefault="001B579C" w:rsidP="0069082C">
      <w:pPr>
        <w:spacing w:line="360" w:lineRule="auto"/>
        <w:jc w:val="center"/>
        <w:rPr>
          <w:rFonts w:ascii="Times New Roman" w:hAnsi="Times New Roman"/>
          <w:color w:val="000000" w:themeColor="text1"/>
          <w:szCs w:val="22"/>
          <w:lang w:val="en-US"/>
        </w:rPr>
      </w:pPr>
      <w:r w:rsidRPr="00D523C8">
        <w:rPr>
          <w:rFonts w:ascii="Times New Roman" w:hAnsi="Times New Roman"/>
          <w:color w:val="000000" w:themeColor="text1"/>
          <w:szCs w:val="22"/>
          <w:lang w:val="en-US"/>
        </w:rPr>
        <w:t>Figure A</w:t>
      </w:r>
      <w:r w:rsidR="00FE41FA" w:rsidRPr="00D523C8">
        <w:rPr>
          <w:rFonts w:ascii="Times New Roman" w:hAnsi="Times New Roman"/>
          <w:color w:val="000000" w:themeColor="text1"/>
          <w:szCs w:val="22"/>
          <w:lang w:val="en-US"/>
        </w:rPr>
        <w:t>2</w:t>
      </w:r>
      <w:r w:rsidRPr="00D523C8">
        <w:rPr>
          <w:rFonts w:ascii="Times New Roman" w:hAnsi="Times New Roman"/>
          <w:color w:val="000000" w:themeColor="text1"/>
          <w:szCs w:val="22"/>
          <w:lang w:val="en-US"/>
        </w:rPr>
        <w:t>. Policy mix</w:t>
      </w:r>
      <w:r w:rsidR="00D26C75">
        <w:rPr>
          <w:rFonts w:ascii="Times New Roman" w:hAnsi="Times New Roman"/>
          <w:color w:val="000000" w:themeColor="text1"/>
          <w:szCs w:val="22"/>
          <w:lang w:val="en-US"/>
        </w:rPr>
        <w:t xml:space="preserve">, </w:t>
      </w:r>
      <w:r w:rsidRPr="00D523C8">
        <w:rPr>
          <w:rFonts w:ascii="Times New Roman" w:hAnsi="Times New Roman"/>
          <w:color w:val="000000" w:themeColor="text1"/>
          <w:szCs w:val="22"/>
          <w:lang w:val="en-US"/>
        </w:rPr>
        <w:t>199</w:t>
      </w:r>
      <w:r w:rsidR="00FE41FA" w:rsidRPr="00D523C8">
        <w:rPr>
          <w:rFonts w:ascii="Times New Roman" w:hAnsi="Times New Roman"/>
          <w:color w:val="000000" w:themeColor="text1"/>
          <w:szCs w:val="22"/>
          <w:lang w:val="en-US"/>
        </w:rPr>
        <w:t>6</w:t>
      </w:r>
      <w:r w:rsidR="00D26C75">
        <w:rPr>
          <w:rFonts w:ascii="Times New Roman" w:hAnsi="Times New Roman"/>
          <w:color w:val="000000" w:themeColor="text1"/>
          <w:szCs w:val="22"/>
          <w:lang w:val="en-US"/>
        </w:rPr>
        <w:t>–</w:t>
      </w:r>
      <w:r w:rsidR="00FE41FA" w:rsidRPr="00D523C8">
        <w:rPr>
          <w:rFonts w:ascii="Times New Roman" w:hAnsi="Times New Roman"/>
          <w:color w:val="000000" w:themeColor="text1"/>
          <w:szCs w:val="22"/>
          <w:lang w:val="en-US"/>
        </w:rPr>
        <w:t>2000</w:t>
      </w:r>
    </w:p>
    <w:p w14:paraId="2C5A338A" w14:textId="45B0B491" w:rsidR="00E66E28" w:rsidRPr="00D523C8" w:rsidRDefault="00E66E28" w:rsidP="00E66E28">
      <w:pPr>
        <w:spacing w:after="120"/>
        <w:ind w:left="709" w:firstLine="11"/>
        <w:rPr>
          <w:rFonts w:ascii="Times New Roman" w:hAnsi="Times New Roman"/>
          <w:sz w:val="18"/>
          <w:szCs w:val="20"/>
          <w:lang w:val="en-US"/>
        </w:rPr>
      </w:pPr>
      <w:r w:rsidRPr="00D523C8">
        <w:rPr>
          <w:rFonts w:ascii="Times New Roman" w:hAnsi="Times New Roman"/>
          <w:sz w:val="18"/>
          <w:szCs w:val="20"/>
          <w:lang w:val="en-US"/>
        </w:rPr>
        <w:lastRenderedPageBreak/>
        <w:t xml:space="preserve">Note: </w:t>
      </w:r>
      <w:r w:rsidR="00D26C75">
        <w:rPr>
          <w:rFonts w:ascii="Times New Roman" w:hAnsi="Times New Roman"/>
          <w:sz w:val="18"/>
          <w:szCs w:val="20"/>
          <w:lang w:val="en-US"/>
        </w:rPr>
        <w:t>T</w:t>
      </w:r>
      <w:r w:rsidRPr="00D523C8">
        <w:rPr>
          <w:rFonts w:ascii="Times New Roman" w:hAnsi="Times New Roman"/>
          <w:sz w:val="18"/>
          <w:szCs w:val="20"/>
          <w:lang w:val="en-US"/>
        </w:rPr>
        <w:t>he letters in the square brackets show the policy instrument types according to the NATO model. “N”</w:t>
      </w:r>
      <w:r w:rsidR="00D26C75">
        <w:rPr>
          <w:rFonts w:ascii="Times New Roman" w:hAnsi="Times New Roman"/>
          <w:sz w:val="18"/>
          <w:szCs w:val="20"/>
          <w:lang w:val="en-US"/>
        </w:rPr>
        <w:t xml:space="preserve"> –</w:t>
      </w:r>
      <w:r w:rsidRPr="00D523C8">
        <w:rPr>
          <w:rFonts w:ascii="Times New Roman" w:hAnsi="Times New Roman"/>
          <w:sz w:val="18"/>
          <w:szCs w:val="20"/>
          <w:lang w:val="en-US"/>
        </w:rPr>
        <w:t xml:space="preserve"> </w:t>
      </w:r>
      <w:proofErr w:type="spellStart"/>
      <w:r w:rsidRPr="00D523C8">
        <w:rPr>
          <w:rFonts w:ascii="Times New Roman" w:hAnsi="Times New Roman"/>
          <w:sz w:val="18"/>
          <w:szCs w:val="20"/>
          <w:lang w:val="en-US"/>
        </w:rPr>
        <w:t>nodality</w:t>
      </w:r>
      <w:proofErr w:type="spellEnd"/>
      <w:r w:rsidRPr="00D523C8">
        <w:rPr>
          <w:rFonts w:ascii="Times New Roman" w:hAnsi="Times New Roman"/>
          <w:sz w:val="18"/>
          <w:szCs w:val="20"/>
          <w:lang w:val="en-US"/>
        </w:rPr>
        <w:t>; “A”</w:t>
      </w:r>
      <w:r w:rsidR="00D26C75">
        <w:rPr>
          <w:rFonts w:ascii="Times New Roman" w:hAnsi="Times New Roman"/>
          <w:sz w:val="18"/>
          <w:szCs w:val="20"/>
          <w:lang w:val="en-US"/>
        </w:rPr>
        <w:t xml:space="preserve"> –</w:t>
      </w:r>
      <w:r w:rsidRPr="00D523C8">
        <w:rPr>
          <w:rFonts w:ascii="Times New Roman" w:hAnsi="Times New Roman"/>
          <w:sz w:val="18"/>
          <w:szCs w:val="20"/>
          <w:lang w:val="en-US"/>
        </w:rPr>
        <w:t xml:space="preserve"> authority; “T”</w:t>
      </w:r>
      <w:r w:rsidR="00D26C75">
        <w:rPr>
          <w:rFonts w:ascii="Times New Roman" w:hAnsi="Times New Roman"/>
          <w:sz w:val="18"/>
          <w:szCs w:val="20"/>
          <w:lang w:val="en-US"/>
        </w:rPr>
        <w:t xml:space="preserve"> –</w:t>
      </w:r>
      <w:r w:rsidRPr="00D523C8">
        <w:rPr>
          <w:rFonts w:ascii="Times New Roman" w:hAnsi="Times New Roman"/>
          <w:sz w:val="18"/>
          <w:szCs w:val="20"/>
          <w:lang w:val="en-US"/>
        </w:rPr>
        <w:t xml:space="preserve"> treasure; </w:t>
      </w:r>
      <w:r w:rsidR="00D26C75">
        <w:rPr>
          <w:rFonts w:ascii="Times New Roman" w:hAnsi="Times New Roman"/>
          <w:sz w:val="18"/>
          <w:szCs w:val="20"/>
          <w:lang w:val="en-US"/>
        </w:rPr>
        <w:t xml:space="preserve">and </w:t>
      </w:r>
      <w:r w:rsidRPr="00D523C8">
        <w:rPr>
          <w:rFonts w:ascii="Times New Roman" w:hAnsi="Times New Roman"/>
          <w:sz w:val="18"/>
          <w:szCs w:val="20"/>
          <w:lang w:val="en-US"/>
        </w:rPr>
        <w:t>“O”</w:t>
      </w:r>
      <w:r w:rsidR="00D26C75">
        <w:rPr>
          <w:rFonts w:ascii="Times New Roman" w:hAnsi="Times New Roman"/>
          <w:sz w:val="18"/>
          <w:szCs w:val="20"/>
          <w:lang w:val="en-US"/>
        </w:rPr>
        <w:t xml:space="preserve"> –</w:t>
      </w:r>
      <w:r w:rsidRPr="00D523C8">
        <w:rPr>
          <w:rFonts w:ascii="Times New Roman" w:hAnsi="Times New Roman"/>
          <w:sz w:val="18"/>
          <w:szCs w:val="20"/>
          <w:lang w:val="en-US"/>
        </w:rPr>
        <w:t xml:space="preserve"> organization. * denotes that the program involves multiple types of policy instrument.</w:t>
      </w:r>
    </w:p>
    <w:p w14:paraId="2554414F" w14:textId="77777777" w:rsidR="00E66E28" w:rsidRPr="00D523C8" w:rsidRDefault="00E66E28" w:rsidP="0069082C">
      <w:pPr>
        <w:spacing w:line="360" w:lineRule="auto"/>
        <w:jc w:val="center"/>
        <w:rPr>
          <w:rFonts w:ascii="Times New Roman" w:hAnsi="Times New Roman"/>
          <w:color w:val="000000" w:themeColor="text1"/>
          <w:szCs w:val="22"/>
          <w:lang w:val="en-US"/>
        </w:rPr>
      </w:pPr>
    </w:p>
    <w:p w14:paraId="0D882F0A" w14:textId="28F9F47C" w:rsidR="00A33133" w:rsidRPr="00D523C8" w:rsidRDefault="00A33133" w:rsidP="00A33133">
      <w:pPr>
        <w:spacing w:line="360" w:lineRule="auto"/>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In 1996, the State Council agreed with SEPA about expanding the implementation area of the SO</w:t>
      </w:r>
      <w:r w:rsidRPr="00D523C8">
        <w:rPr>
          <w:rFonts w:ascii="Times New Roman" w:hAnsi="Times New Roman"/>
          <w:color w:val="000000" w:themeColor="text1"/>
          <w:szCs w:val="22"/>
          <w:vertAlign w:val="subscript"/>
          <w:lang w:val="en-US"/>
        </w:rPr>
        <w:t>2</w:t>
      </w:r>
      <w:r w:rsidRPr="00D523C8">
        <w:rPr>
          <w:rFonts w:ascii="Times New Roman" w:hAnsi="Times New Roman"/>
          <w:color w:val="000000" w:themeColor="text1"/>
          <w:szCs w:val="22"/>
          <w:lang w:val="en-US"/>
        </w:rPr>
        <w:t xml:space="preserve"> discharge fee from the 11 pilots to the major acid rain and SO</w:t>
      </w:r>
      <w:r w:rsidRPr="00D523C8">
        <w:rPr>
          <w:rFonts w:ascii="Times New Roman" w:hAnsi="Times New Roman"/>
          <w:color w:val="000000" w:themeColor="text1"/>
          <w:szCs w:val="22"/>
          <w:vertAlign w:val="subscript"/>
          <w:lang w:val="en-US"/>
        </w:rPr>
        <w:t>2</w:t>
      </w:r>
      <w:r w:rsidRPr="00D523C8">
        <w:rPr>
          <w:rFonts w:ascii="Times New Roman" w:hAnsi="Times New Roman"/>
          <w:color w:val="000000" w:themeColor="text1"/>
          <w:szCs w:val="22"/>
          <w:lang w:val="en-US"/>
        </w:rPr>
        <w:t xml:space="preserve"> control areas. After two years, the government defined the geographical scope of the acid rain control zone and the SO</w:t>
      </w:r>
      <w:r w:rsidRPr="00D523C8">
        <w:rPr>
          <w:rFonts w:ascii="Times New Roman" w:hAnsi="Times New Roman"/>
          <w:color w:val="000000" w:themeColor="text1"/>
          <w:szCs w:val="22"/>
          <w:vertAlign w:val="subscript"/>
          <w:lang w:val="en-US"/>
        </w:rPr>
        <w:t>2</w:t>
      </w:r>
      <w:r w:rsidRPr="00D523C8">
        <w:rPr>
          <w:rFonts w:ascii="Times New Roman" w:hAnsi="Times New Roman"/>
          <w:color w:val="000000" w:themeColor="text1"/>
          <w:szCs w:val="22"/>
          <w:lang w:val="en-US"/>
        </w:rPr>
        <w:t xml:space="preserve"> emission control zone (referred to </w:t>
      </w:r>
      <w:r w:rsidR="00D26C75">
        <w:rPr>
          <w:rFonts w:ascii="Times New Roman" w:hAnsi="Times New Roman"/>
          <w:color w:val="000000" w:themeColor="text1"/>
          <w:szCs w:val="22"/>
          <w:lang w:val="en-US"/>
        </w:rPr>
        <w:t xml:space="preserve">here </w:t>
      </w:r>
      <w:r w:rsidRPr="00D523C8">
        <w:rPr>
          <w:rFonts w:ascii="Times New Roman" w:hAnsi="Times New Roman"/>
          <w:color w:val="000000" w:themeColor="text1"/>
          <w:szCs w:val="22"/>
          <w:lang w:val="en-US"/>
        </w:rPr>
        <w:t>as</w:t>
      </w:r>
      <w:r w:rsidR="00D26C75">
        <w:rPr>
          <w:rFonts w:ascii="Times New Roman" w:hAnsi="Times New Roman"/>
          <w:color w:val="000000" w:themeColor="text1"/>
          <w:szCs w:val="22"/>
          <w:lang w:val="en-US"/>
        </w:rPr>
        <w:t xml:space="preserve"> the</w:t>
      </w:r>
      <w:r w:rsidRPr="00D523C8">
        <w:rPr>
          <w:rFonts w:ascii="Times New Roman" w:hAnsi="Times New Roman"/>
          <w:color w:val="000000" w:themeColor="text1"/>
          <w:szCs w:val="22"/>
          <w:lang w:val="en-US"/>
        </w:rPr>
        <w:t xml:space="preserve"> “two control zones”</w:t>
      </w:r>
      <w:r w:rsidR="00D90522">
        <w:rPr>
          <w:rFonts w:ascii="Times New Roman" w:hAnsi="Times New Roman"/>
          <w:color w:val="000000" w:themeColor="text1"/>
          <w:szCs w:val="22"/>
          <w:lang w:val="en-US"/>
        </w:rPr>
        <w:t>, or TCZ</w:t>
      </w:r>
      <w:r w:rsidRPr="00D523C8">
        <w:rPr>
          <w:rFonts w:ascii="Times New Roman" w:hAnsi="Times New Roman"/>
          <w:color w:val="000000" w:themeColor="text1"/>
          <w:szCs w:val="22"/>
          <w:lang w:val="en-US"/>
        </w:rPr>
        <w:t>). In 1998, the State Council stated</w:t>
      </w:r>
      <w:r w:rsidRPr="00632159">
        <w:rPr>
          <w:rStyle w:val="FootnoteReference"/>
        </w:rPr>
        <w:footnoteReference w:id="3"/>
      </w:r>
      <w:r w:rsidRPr="00D523C8">
        <w:rPr>
          <w:rFonts w:ascii="Times New Roman" w:hAnsi="Times New Roman"/>
          <w:color w:val="000000" w:themeColor="text1"/>
          <w:szCs w:val="22"/>
          <w:lang w:val="en-US"/>
        </w:rPr>
        <w:t xml:space="preserve"> that</w:t>
      </w:r>
      <w:r w:rsidR="00D26C75">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w:t>
      </w:r>
      <w:r w:rsidRPr="00D523C8">
        <w:rPr>
          <w:rFonts w:ascii="Times New Roman" w:eastAsia="Times New Roman" w:hAnsi="Times New Roman"/>
          <w:color w:val="000000" w:themeColor="text1"/>
          <w:szCs w:val="22"/>
          <w:lang w:val="en-US"/>
        </w:rPr>
        <w:t>within the TCZ,</w:t>
      </w:r>
      <w:r w:rsidRPr="00D523C8">
        <w:rPr>
          <w:rFonts w:ascii="Times New Roman" w:hAnsi="Times New Roman"/>
          <w:color w:val="000000" w:themeColor="text1"/>
          <w:szCs w:val="22"/>
          <w:lang w:val="en-US"/>
        </w:rPr>
        <w:t xml:space="preserve"> the policy objective was to stabilize </w:t>
      </w:r>
      <w:r w:rsidRPr="00D523C8">
        <w:rPr>
          <w:rFonts w:ascii="Times New Roman" w:eastAsia="Times New Roman" w:hAnsi="Times New Roman"/>
          <w:color w:val="000000" w:themeColor="text1"/>
          <w:szCs w:val="22"/>
          <w:lang w:val="en-US"/>
        </w:rPr>
        <w:t>the SO</w:t>
      </w:r>
      <w:r w:rsidRPr="00D523C8">
        <w:rPr>
          <w:rFonts w:ascii="Times New Roman" w:eastAsia="Times New Roman" w:hAnsi="Times New Roman"/>
          <w:color w:val="000000" w:themeColor="text1"/>
          <w:szCs w:val="22"/>
          <w:vertAlign w:val="subscript"/>
          <w:lang w:val="en-US"/>
        </w:rPr>
        <w:t>2</w:t>
      </w:r>
      <w:r w:rsidRPr="00D523C8">
        <w:rPr>
          <w:rFonts w:ascii="Times New Roman" w:eastAsia="Times New Roman" w:hAnsi="Times New Roman"/>
          <w:color w:val="000000" w:themeColor="text1"/>
          <w:szCs w:val="22"/>
          <w:lang w:val="en-US"/>
        </w:rPr>
        <w:t xml:space="preserve"> emissions in 2010 at the 2000 level, so there should be no increase of annual emission levels from 2000 onwards. A package of policy instruments was suggested to achieve the objective w</w:t>
      </w:r>
      <w:r w:rsidRPr="00D523C8">
        <w:rPr>
          <w:rFonts w:ascii="Times New Roman" w:hAnsi="Times New Roman"/>
          <w:color w:val="000000" w:themeColor="text1"/>
          <w:szCs w:val="22"/>
          <w:lang w:val="en-US"/>
        </w:rPr>
        <w:t xml:space="preserve">ithin the TCZ, including the quantity-based emission cap (also referred to as “total amount control” in some literature), concentration-based emission limits, air quality standards, limiting the sulfur content of coal and the </w:t>
      </w:r>
      <w:r w:rsidR="007B69D1">
        <w:rPr>
          <w:rFonts w:ascii="Times New Roman" w:hAnsi="Times New Roman"/>
          <w:color w:val="000000" w:themeColor="text1"/>
          <w:szCs w:val="22"/>
          <w:lang w:val="en-US"/>
        </w:rPr>
        <w:t>PDF</w:t>
      </w:r>
      <w:r w:rsidRPr="00D523C8">
        <w:rPr>
          <w:rFonts w:ascii="Times New Roman" w:hAnsi="Times New Roman"/>
          <w:color w:val="000000" w:themeColor="text1"/>
          <w:szCs w:val="22"/>
          <w:lang w:val="en-US"/>
        </w:rPr>
        <w:t xml:space="preserve">. </w:t>
      </w:r>
    </w:p>
    <w:p w14:paraId="3C8146EF" w14:textId="18250627" w:rsidR="00A33133" w:rsidRPr="00D523C8" w:rsidRDefault="00A33133" w:rsidP="00A33133">
      <w:pPr>
        <w:spacing w:line="360" w:lineRule="auto"/>
        <w:ind w:firstLine="720"/>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 xml:space="preserve">By the end of the 1990s, the gap between electricity supply and electricity demand had narrowed. At this juncture, the former SETC requested shutting down small-sized fossil fuel power plants in 1999 with the goal of reducing air pollutants and enhancing efficiency in resource utilization. With respect to the renewable energy support, the Ministry of Finance initiated the Revolving Fund for Hydropower Preparatory Work in 1997; this served hydropower development </w:t>
      </w:r>
      <w:r w:rsidR="00D26C75">
        <w:rPr>
          <w:rFonts w:ascii="Times New Roman" w:hAnsi="Times New Roman"/>
          <w:color w:val="000000" w:themeColor="text1"/>
          <w:szCs w:val="22"/>
          <w:lang w:val="en-US"/>
        </w:rPr>
        <w:t>until</w:t>
      </w:r>
      <w:r w:rsidR="00D26C75" w:rsidRPr="00D523C8">
        <w:rPr>
          <w:rFonts w:ascii="Times New Roman" w:hAnsi="Times New Roman"/>
          <w:color w:val="000000" w:themeColor="text1"/>
          <w:szCs w:val="22"/>
          <w:lang w:val="en-US"/>
        </w:rPr>
        <w:t xml:space="preserve"> </w:t>
      </w:r>
      <w:r w:rsidRPr="00D523C8">
        <w:rPr>
          <w:rFonts w:ascii="Times New Roman" w:hAnsi="Times New Roman"/>
          <w:color w:val="000000" w:themeColor="text1"/>
          <w:szCs w:val="22"/>
          <w:lang w:val="en-US"/>
        </w:rPr>
        <w:t xml:space="preserve">2003. The hydropower projects could use the fund for project planning and preparations by paying the occupancy fee, which was lower than the interest rate on bank loans. </w:t>
      </w:r>
    </w:p>
    <w:p w14:paraId="468B106C" w14:textId="757CA6B0" w:rsidR="00A33133" w:rsidRPr="00D523C8" w:rsidRDefault="00CF2A9B" w:rsidP="00A33133">
      <w:pPr>
        <w:pStyle w:val="Heading2"/>
        <w:spacing w:before="120" w:after="1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 xml:space="preserve">4.4 Environmental policy mix </w:t>
      </w:r>
      <w:r w:rsidR="00D26C75">
        <w:rPr>
          <w:rFonts w:ascii="Times New Roman" w:hAnsi="Times New Roman" w:cs="Times New Roman"/>
          <w:color w:val="000000" w:themeColor="text1"/>
        </w:rPr>
        <w:t>between</w:t>
      </w:r>
      <w:r w:rsidR="00D26C75" w:rsidRPr="00D523C8">
        <w:rPr>
          <w:rFonts w:ascii="Times New Roman" w:hAnsi="Times New Roman" w:cs="Times New Roman"/>
          <w:color w:val="000000" w:themeColor="text1"/>
        </w:rPr>
        <w:t xml:space="preserve"> </w:t>
      </w:r>
      <w:r w:rsidR="00A33133" w:rsidRPr="00D523C8">
        <w:rPr>
          <w:rFonts w:ascii="Times New Roman" w:hAnsi="Times New Roman" w:cs="Times New Roman"/>
          <w:color w:val="000000" w:themeColor="text1"/>
        </w:rPr>
        <w:t xml:space="preserve">2001 </w:t>
      </w:r>
      <w:r w:rsidR="00D26C75">
        <w:rPr>
          <w:rFonts w:ascii="Times New Roman" w:hAnsi="Times New Roman" w:cs="Times New Roman"/>
          <w:color w:val="000000" w:themeColor="text1"/>
        </w:rPr>
        <w:t xml:space="preserve">and </w:t>
      </w:r>
      <w:r w:rsidR="00A33133" w:rsidRPr="00D523C8">
        <w:rPr>
          <w:rFonts w:ascii="Times New Roman" w:hAnsi="Times New Roman" w:cs="Times New Roman"/>
          <w:color w:val="000000" w:themeColor="text1"/>
        </w:rPr>
        <w:t>2005 (10th FYP)</w:t>
      </w:r>
    </w:p>
    <w:p w14:paraId="6001D1A7" w14:textId="674AB1F6"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4.4.1 The background</w:t>
      </w:r>
    </w:p>
    <w:p w14:paraId="40D4EC61" w14:textId="2F54163A" w:rsidR="00A33133" w:rsidRPr="00D523C8" w:rsidRDefault="00A33133" w:rsidP="00A33133">
      <w:pPr>
        <w:spacing w:line="360" w:lineRule="auto"/>
        <w:jc w:val="both"/>
        <w:rPr>
          <w:rFonts w:ascii="Times New Roman" w:hAnsi="Times New Roman"/>
          <w:lang w:val="en-US"/>
        </w:rPr>
      </w:pPr>
      <w:r w:rsidRPr="00D523C8">
        <w:rPr>
          <w:rFonts w:ascii="Times New Roman" w:hAnsi="Times New Roman"/>
          <w:color w:val="000000" w:themeColor="text1"/>
          <w:szCs w:val="22"/>
          <w:lang w:val="en-US"/>
        </w:rPr>
        <w:t>In 2003, President Hu Jintao initiated the “scientific development perspective” (</w:t>
      </w:r>
      <w:proofErr w:type="spellStart"/>
      <w:r w:rsidRPr="00D523C8">
        <w:rPr>
          <w:rFonts w:ascii="Times New Roman" w:hAnsi="Times New Roman"/>
          <w:i/>
          <w:color w:val="000000" w:themeColor="text1"/>
          <w:szCs w:val="22"/>
          <w:lang w:val="en-US"/>
        </w:rPr>
        <w:t>ke</w:t>
      </w:r>
      <w:proofErr w:type="spellEnd"/>
      <w:r w:rsidRPr="00D523C8">
        <w:rPr>
          <w:rFonts w:ascii="Times New Roman" w:hAnsi="Times New Roman"/>
          <w:i/>
          <w:color w:val="000000" w:themeColor="text1"/>
          <w:szCs w:val="22"/>
          <w:lang w:val="en-US"/>
        </w:rPr>
        <w:t xml:space="preserve"> </w:t>
      </w:r>
      <w:proofErr w:type="spellStart"/>
      <w:r w:rsidRPr="00D523C8">
        <w:rPr>
          <w:rFonts w:ascii="Times New Roman" w:hAnsi="Times New Roman"/>
          <w:i/>
          <w:color w:val="000000" w:themeColor="text1"/>
          <w:szCs w:val="22"/>
          <w:lang w:val="en-US"/>
        </w:rPr>
        <w:t>xue</w:t>
      </w:r>
      <w:proofErr w:type="spellEnd"/>
      <w:r w:rsidRPr="00D523C8">
        <w:rPr>
          <w:rFonts w:ascii="Times New Roman" w:hAnsi="Times New Roman"/>
          <w:i/>
          <w:color w:val="000000" w:themeColor="text1"/>
          <w:szCs w:val="22"/>
          <w:lang w:val="en-US"/>
        </w:rPr>
        <w:t xml:space="preserve"> fa </w:t>
      </w:r>
      <w:proofErr w:type="spellStart"/>
      <w:r w:rsidRPr="00D523C8">
        <w:rPr>
          <w:rFonts w:ascii="Times New Roman" w:hAnsi="Times New Roman"/>
          <w:i/>
          <w:color w:val="000000" w:themeColor="text1"/>
          <w:szCs w:val="22"/>
          <w:lang w:val="en-US"/>
        </w:rPr>
        <w:t>zhan</w:t>
      </w:r>
      <w:proofErr w:type="spellEnd"/>
      <w:r w:rsidRPr="00D523C8">
        <w:rPr>
          <w:rFonts w:ascii="Times New Roman" w:hAnsi="Times New Roman"/>
          <w:i/>
          <w:color w:val="000000" w:themeColor="text1"/>
          <w:szCs w:val="22"/>
          <w:lang w:val="en-US"/>
        </w:rPr>
        <w:t xml:space="preserve"> guan</w:t>
      </w:r>
      <w:r w:rsidRPr="00D523C8">
        <w:rPr>
          <w:rFonts w:ascii="Times New Roman" w:hAnsi="Times New Roman"/>
          <w:color w:val="000000" w:themeColor="text1"/>
          <w:szCs w:val="22"/>
          <w:lang w:val="en-US"/>
        </w:rPr>
        <w:t>) to guide socioeconomic development</w:t>
      </w:r>
      <w:r w:rsidR="00D26C75">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with </w:t>
      </w:r>
      <w:r w:rsidR="00D26C75">
        <w:rPr>
          <w:rFonts w:ascii="Times New Roman" w:hAnsi="Times New Roman"/>
          <w:color w:val="000000" w:themeColor="text1"/>
          <w:szCs w:val="22"/>
          <w:lang w:val="en-US"/>
        </w:rPr>
        <w:t xml:space="preserve">an </w:t>
      </w:r>
      <w:r w:rsidRPr="00D523C8">
        <w:rPr>
          <w:rFonts w:ascii="Times New Roman" w:hAnsi="Times New Roman"/>
          <w:color w:val="000000" w:themeColor="text1"/>
          <w:szCs w:val="22"/>
          <w:lang w:val="en-US"/>
        </w:rPr>
        <w:t>emphasis on sustainable development and social welfare. In the electricity sector, China initiated the reform to increase market competition</w:t>
      </w:r>
      <w:r w:rsidRPr="00D523C8">
        <w:rPr>
          <w:rFonts w:ascii="Times New Roman" w:eastAsia="Times New Roman" w:hAnsi="Times New Roman"/>
          <w:color w:val="000000" w:themeColor="text1"/>
          <w:szCs w:val="22"/>
          <w:lang w:val="en-US"/>
        </w:rPr>
        <w:t xml:space="preserve">. The State Power Corporation was dismantled over 2002–2003; its successors included five state-owned power generation enterprises and two state-owned power grid enterprises. In 2003, the State Council released </w:t>
      </w:r>
      <w:r w:rsidR="00D26C75">
        <w:rPr>
          <w:rFonts w:ascii="Times New Roman" w:eastAsia="Times New Roman" w:hAnsi="Times New Roman"/>
          <w:color w:val="000000" w:themeColor="text1"/>
          <w:szCs w:val="22"/>
          <w:lang w:val="en-US"/>
        </w:rPr>
        <w:t>t</w:t>
      </w:r>
      <w:r w:rsidRPr="00D523C8">
        <w:rPr>
          <w:rFonts w:ascii="Times New Roman" w:eastAsia="Times New Roman" w:hAnsi="Times New Roman"/>
          <w:color w:val="000000" w:themeColor="text1"/>
          <w:szCs w:val="22"/>
          <w:lang w:val="en-US"/>
        </w:rPr>
        <w:t>he Plan of the Electricity Price Reform,</w:t>
      </w:r>
      <w:r w:rsidRPr="00D523C8">
        <w:rPr>
          <w:rFonts w:ascii="Times New Roman" w:eastAsia="Times New Roman" w:hAnsi="Times New Roman"/>
          <w:i/>
          <w:color w:val="000000" w:themeColor="text1"/>
          <w:szCs w:val="22"/>
          <w:lang w:val="en-US"/>
        </w:rPr>
        <w:t xml:space="preserve"> </w:t>
      </w:r>
      <w:r w:rsidRPr="00D523C8">
        <w:rPr>
          <w:rFonts w:ascii="Times New Roman" w:eastAsia="Times New Roman" w:hAnsi="Times New Roman"/>
          <w:color w:val="000000" w:themeColor="text1"/>
          <w:szCs w:val="22"/>
          <w:lang w:val="en-US"/>
        </w:rPr>
        <w:t xml:space="preserve">dividing the on-grid electricity price, the transmission price, the distribution price and the retail price. </w:t>
      </w:r>
      <w:r w:rsidR="00D26C75">
        <w:rPr>
          <w:rFonts w:ascii="Times New Roman" w:eastAsia="Times New Roman" w:hAnsi="Times New Roman"/>
          <w:color w:val="000000" w:themeColor="text1"/>
          <w:szCs w:val="22"/>
          <w:lang w:val="en-US"/>
        </w:rPr>
        <w:t>The</w:t>
      </w:r>
      <w:r w:rsidR="00D26C75" w:rsidRPr="00D523C8">
        <w:rPr>
          <w:rFonts w:ascii="Times New Roman" w:eastAsia="Times New Roman" w:hAnsi="Times New Roman"/>
          <w:color w:val="000000" w:themeColor="text1"/>
          <w:szCs w:val="22"/>
          <w:lang w:val="en-US"/>
        </w:rPr>
        <w:t xml:space="preserve"> </w:t>
      </w:r>
      <w:r w:rsidRPr="00D523C8">
        <w:rPr>
          <w:rFonts w:ascii="Times New Roman" w:eastAsia="Times New Roman" w:hAnsi="Times New Roman"/>
          <w:color w:val="000000" w:themeColor="text1"/>
          <w:szCs w:val="22"/>
          <w:lang w:val="en-US"/>
        </w:rPr>
        <w:t xml:space="preserve">2002 electricity sector reform led to some degree of market liberalization, providing </w:t>
      </w:r>
      <w:r w:rsidRPr="00D523C8">
        <w:rPr>
          <w:rFonts w:ascii="Times New Roman" w:eastAsia="Times New Roman" w:hAnsi="Times New Roman"/>
          <w:color w:val="000000" w:themeColor="text1"/>
          <w:szCs w:val="22"/>
          <w:lang w:val="en-US"/>
        </w:rPr>
        <w:lastRenderedPageBreak/>
        <w:t>opportunities for renewable energy project developments. In 2003, the National Development and Reform Commission (NDRC) was established; this ha</w:t>
      </w:r>
      <w:r w:rsidR="00D26C75">
        <w:rPr>
          <w:rFonts w:ascii="Times New Roman" w:eastAsia="Times New Roman" w:hAnsi="Times New Roman"/>
          <w:color w:val="000000" w:themeColor="text1"/>
          <w:szCs w:val="22"/>
          <w:lang w:val="en-US"/>
        </w:rPr>
        <w:t xml:space="preserve">d </w:t>
      </w:r>
      <w:r w:rsidRPr="00D523C8">
        <w:rPr>
          <w:rFonts w:ascii="Times New Roman" w:eastAsia="Times New Roman" w:hAnsi="Times New Roman"/>
          <w:color w:val="000000" w:themeColor="text1"/>
          <w:szCs w:val="22"/>
          <w:lang w:val="en-US"/>
        </w:rPr>
        <w:t xml:space="preserve">broad administrative and planning control over the economy of China, including the role of promoting sustainable development strategy and coordinating energy development. </w:t>
      </w:r>
    </w:p>
    <w:p w14:paraId="437D109E" w14:textId="379A1CEF"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4.4.2 The policy mix</w:t>
      </w:r>
    </w:p>
    <w:p w14:paraId="28A1BBA7" w14:textId="78C42D58" w:rsidR="003B1625" w:rsidRPr="00D523C8" w:rsidRDefault="00792000" w:rsidP="0010138C">
      <w:pPr>
        <w:spacing w:line="360" w:lineRule="auto"/>
        <w:jc w:val="center"/>
        <w:rPr>
          <w:rFonts w:ascii="Times New Roman" w:hAnsi="Times New Roman"/>
          <w:color w:val="000000" w:themeColor="text1"/>
          <w:szCs w:val="22"/>
          <w:lang w:val="en-US"/>
        </w:rPr>
      </w:pPr>
      <w:r w:rsidRPr="00D523C8">
        <w:rPr>
          <w:rFonts w:ascii="Times New Roman" w:hAnsi="Times New Roman"/>
          <w:noProof/>
          <w:color w:val="000000" w:themeColor="text1"/>
          <w:szCs w:val="22"/>
          <w:lang w:val="en-US"/>
        </w:rPr>
        <w:drawing>
          <wp:inline distT="0" distB="0" distL="0" distR="0" wp14:anchorId="190C81AE" wp14:editId="0A85DA44">
            <wp:extent cx="5693308" cy="4784209"/>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icy mix_2001-2005_6Jan2020.png"/>
                    <pic:cNvPicPr/>
                  </pic:nvPicPr>
                  <pic:blipFill rotWithShape="1">
                    <a:blip r:embed="rId9" cstate="print">
                      <a:extLst>
                        <a:ext uri="{28A0092B-C50C-407E-A947-70E740481C1C}">
                          <a14:useLocalDpi xmlns:a14="http://schemas.microsoft.com/office/drawing/2010/main" val="0"/>
                        </a:ext>
                      </a:extLst>
                    </a:blip>
                    <a:srcRect r="12120"/>
                    <a:stretch/>
                  </pic:blipFill>
                  <pic:spPr bwMode="auto">
                    <a:xfrm>
                      <a:off x="0" y="0"/>
                      <a:ext cx="5709676" cy="4797963"/>
                    </a:xfrm>
                    <a:prstGeom prst="rect">
                      <a:avLst/>
                    </a:prstGeom>
                    <a:ln>
                      <a:noFill/>
                    </a:ln>
                    <a:extLst>
                      <a:ext uri="{53640926-AAD7-44D8-BBD7-CCE9431645EC}">
                        <a14:shadowObscured xmlns:a14="http://schemas.microsoft.com/office/drawing/2010/main"/>
                      </a:ext>
                    </a:extLst>
                  </pic:spPr>
                </pic:pic>
              </a:graphicData>
            </a:graphic>
          </wp:inline>
        </w:drawing>
      </w:r>
    </w:p>
    <w:p w14:paraId="51FADEE3" w14:textId="486C6ABA" w:rsidR="00667B5A" w:rsidRPr="00D523C8" w:rsidRDefault="00667B5A" w:rsidP="00A823F2">
      <w:pPr>
        <w:spacing w:line="360" w:lineRule="auto"/>
        <w:jc w:val="center"/>
        <w:rPr>
          <w:rFonts w:ascii="Times New Roman" w:hAnsi="Times New Roman"/>
          <w:color w:val="000000" w:themeColor="text1"/>
          <w:szCs w:val="22"/>
          <w:lang w:val="en-US"/>
        </w:rPr>
      </w:pPr>
      <w:r w:rsidRPr="00D523C8">
        <w:rPr>
          <w:rFonts w:ascii="Times New Roman" w:hAnsi="Times New Roman"/>
          <w:color w:val="000000" w:themeColor="text1"/>
          <w:szCs w:val="22"/>
          <w:lang w:val="en-US"/>
        </w:rPr>
        <w:t>Figure A</w:t>
      </w:r>
      <w:r w:rsidR="00A823F2" w:rsidRPr="00D523C8">
        <w:rPr>
          <w:rFonts w:ascii="Times New Roman" w:hAnsi="Times New Roman"/>
          <w:color w:val="000000" w:themeColor="text1"/>
          <w:szCs w:val="22"/>
          <w:lang w:val="en-US"/>
        </w:rPr>
        <w:t>3</w:t>
      </w:r>
      <w:r w:rsidRPr="00D523C8">
        <w:rPr>
          <w:rFonts w:ascii="Times New Roman" w:hAnsi="Times New Roman"/>
          <w:color w:val="000000" w:themeColor="text1"/>
          <w:szCs w:val="22"/>
          <w:lang w:val="en-US"/>
        </w:rPr>
        <w:t>. Policy mix</w:t>
      </w:r>
      <w:r w:rsidR="00D26C75">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w:t>
      </w:r>
      <w:r w:rsidR="00E259BF" w:rsidRPr="00D523C8">
        <w:rPr>
          <w:rFonts w:ascii="Times New Roman" w:hAnsi="Times New Roman"/>
          <w:color w:val="000000" w:themeColor="text1"/>
          <w:szCs w:val="22"/>
          <w:lang w:val="en-US"/>
        </w:rPr>
        <w:t>2001</w:t>
      </w:r>
      <w:r w:rsidR="00D26C75">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200</w:t>
      </w:r>
      <w:r w:rsidR="00E259BF" w:rsidRPr="00D523C8">
        <w:rPr>
          <w:rFonts w:ascii="Times New Roman" w:hAnsi="Times New Roman"/>
          <w:color w:val="000000" w:themeColor="text1"/>
          <w:szCs w:val="22"/>
          <w:lang w:val="en-US"/>
        </w:rPr>
        <w:t>5</w:t>
      </w:r>
    </w:p>
    <w:p w14:paraId="5916653A" w14:textId="7B28F0FB" w:rsidR="00E66E28" w:rsidRPr="00D523C8" w:rsidRDefault="00E66E28" w:rsidP="00E66E28">
      <w:pPr>
        <w:spacing w:after="120"/>
        <w:ind w:left="709" w:firstLine="11"/>
        <w:rPr>
          <w:rFonts w:ascii="Times New Roman" w:hAnsi="Times New Roman"/>
          <w:sz w:val="18"/>
          <w:szCs w:val="20"/>
          <w:lang w:val="en-US"/>
        </w:rPr>
      </w:pPr>
      <w:r w:rsidRPr="00D523C8">
        <w:rPr>
          <w:rFonts w:ascii="Times New Roman" w:hAnsi="Times New Roman"/>
          <w:sz w:val="18"/>
          <w:szCs w:val="20"/>
          <w:lang w:val="en-US"/>
        </w:rPr>
        <w:t xml:space="preserve">Note: </w:t>
      </w:r>
      <w:r w:rsidR="00D26C75">
        <w:rPr>
          <w:rFonts w:ascii="Times New Roman" w:hAnsi="Times New Roman"/>
          <w:sz w:val="18"/>
          <w:szCs w:val="20"/>
          <w:lang w:val="en-US"/>
        </w:rPr>
        <w:t>T</w:t>
      </w:r>
      <w:r w:rsidRPr="00D523C8">
        <w:rPr>
          <w:rFonts w:ascii="Times New Roman" w:hAnsi="Times New Roman"/>
          <w:sz w:val="18"/>
          <w:szCs w:val="20"/>
          <w:lang w:val="en-US"/>
        </w:rPr>
        <w:t>he letters in the square brackets show the policy instrument types according to the NATO model. “N”</w:t>
      </w:r>
      <w:r w:rsidR="00D26C75">
        <w:rPr>
          <w:rFonts w:ascii="Times New Roman" w:hAnsi="Times New Roman"/>
          <w:sz w:val="18"/>
          <w:szCs w:val="20"/>
          <w:lang w:val="en-US"/>
        </w:rPr>
        <w:t xml:space="preserve"> –</w:t>
      </w:r>
      <w:r w:rsidRPr="00D523C8">
        <w:rPr>
          <w:rFonts w:ascii="Times New Roman" w:hAnsi="Times New Roman"/>
          <w:sz w:val="18"/>
          <w:szCs w:val="20"/>
          <w:lang w:val="en-US"/>
        </w:rPr>
        <w:t xml:space="preserve"> </w:t>
      </w:r>
      <w:proofErr w:type="spellStart"/>
      <w:r w:rsidRPr="00D523C8">
        <w:rPr>
          <w:rFonts w:ascii="Times New Roman" w:hAnsi="Times New Roman"/>
          <w:sz w:val="18"/>
          <w:szCs w:val="20"/>
          <w:lang w:val="en-US"/>
        </w:rPr>
        <w:t>nodality</w:t>
      </w:r>
      <w:proofErr w:type="spellEnd"/>
      <w:r w:rsidRPr="00D523C8">
        <w:rPr>
          <w:rFonts w:ascii="Times New Roman" w:hAnsi="Times New Roman"/>
          <w:sz w:val="18"/>
          <w:szCs w:val="20"/>
          <w:lang w:val="en-US"/>
        </w:rPr>
        <w:t>; “A”</w:t>
      </w:r>
      <w:r w:rsidR="00D26C75">
        <w:rPr>
          <w:rFonts w:ascii="Times New Roman" w:hAnsi="Times New Roman"/>
          <w:sz w:val="18"/>
          <w:szCs w:val="20"/>
          <w:lang w:val="en-US"/>
        </w:rPr>
        <w:t xml:space="preserve"> –</w:t>
      </w:r>
      <w:r w:rsidRPr="00D523C8">
        <w:rPr>
          <w:rFonts w:ascii="Times New Roman" w:hAnsi="Times New Roman"/>
          <w:sz w:val="18"/>
          <w:szCs w:val="20"/>
          <w:lang w:val="en-US"/>
        </w:rPr>
        <w:t xml:space="preserve"> authority; “T”</w:t>
      </w:r>
      <w:r w:rsidR="00D26C75">
        <w:rPr>
          <w:rFonts w:ascii="Times New Roman" w:hAnsi="Times New Roman"/>
          <w:sz w:val="18"/>
          <w:szCs w:val="20"/>
          <w:lang w:val="en-US"/>
        </w:rPr>
        <w:t xml:space="preserve"> –</w:t>
      </w:r>
      <w:r w:rsidRPr="00D523C8">
        <w:rPr>
          <w:rFonts w:ascii="Times New Roman" w:hAnsi="Times New Roman"/>
          <w:sz w:val="18"/>
          <w:szCs w:val="20"/>
          <w:lang w:val="en-US"/>
        </w:rPr>
        <w:t xml:space="preserve"> treasure; </w:t>
      </w:r>
      <w:r w:rsidR="00D26C75">
        <w:rPr>
          <w:rFonts w:ascii="Times New Roman" w:hAnsi="Times New Roman"/>
          <w:sz w:val="18"/>
          <w:szCs w:val="20"/>
          <w:lang w:val="en-US"/>
        </w:rPr>
        <w:t xml:space="preserve">and </w:t>
      </w:r>
      <w:r w:rsidRPr="00D523C8">
        <w:rPr>
          <w:rFonts w:ascii="Times New Roman" w:hAnsi="Times New Roman"/>
          <w:sz w:val="18"/>
          <w:szCs w:val="20"/>
          <w:lang w:val="en-US"/>
        </w:rPr>
        <w:t>“O”</w:t>
      </w:r>
      <w:r w:rsidR="00D26C75">
        <w:rPr>
          <w:rFonts w:ascii="Times New Roman" w:hAnsi="Times New Roman"/>
          <w:sz w:val="18"/>
          <w:szCs w:val="20"/>
          <w:lang w:val="en-US"/>
        </w:rPr>
        <w:t xml:space="preserve"> –</w:t>
      </w:r>
      <w:r w:rsidRPr="00D523C8">
        <w:rPr>
          <w:rFonts w:ascii="Times New Roman" w:hAnsi="Times New Roman"/>
          <w:sz w:val="18"/>
          <w:szCs w:val="20"/>
          <w:lang w:val="en-US"/>
        </w:rPr>
        <w:t xml:space="preserve"> organization. * denotes that the program involves multiple types of policy instrument.</w:t>
      </w:r>
    </w:p>
    <w:p w14:paraId="157C3553" w14:textId="77777777" w:rsidR="00E66E28" w:rsidRPr="00D523C8" w:rsidRDefault="00E66E28" w:rsidP="00A823F2">
      <w:pPr>
        <w:spacing w:line="360" w:lineRule="auto"/>
        <w:jc w:val="center"/>
        <w:rPr>
          <w:rFonts w:ascii="Times New Roman" w:hAnsi="Times New Roman"/>
          <w:color w:val="000000" w:themeColor="text1"/>
          <w:szCs w:val="22"/>
          <w:lang w:val="en-US"/>
        </w:rPr>
      </w:pPr>
    </w:p>
    <w:p w14:paraId="2FF34CE6" w14:textId="6B466EB3" w:rsidR="00A33133" w:rsidRPr="00D523C8" w:rsidRDefault="00A33133" w:rsidP="00A33133">
      <w:pPr>
        <w:spacing w:line="360" w:lineRule="auto"/>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To reduce SO</w:t>
      </w:r>
      <w:r w:rsidRPr="00D523C8">
        <w:rPr>
          <w:rFonts w:ascii="Times New Roman" w:hAnsi="Times New Roman"/>
          <w:color w:val="000000" w:themeColor="text1"/>
          <w:szCs w:val="22"/>
          <w:vertAlign w:val="subscript"/>
          <w:lang w:val="en-US"/>
        </w:rPr>
        <w:t>2</w:t>
      </w:r>
      <w:r w:rsidRPr="00D523C8">
        <w:rPr>
          <w:rFonts w:ascii="Times New Roman" w:hAnsi="Times New Roman"/>
          <w:color w:val="000000" w:themeColor="text1"/>
          <w:szCs w:val="22"/>
          <w:lang w:val="en-US"/>
        </w:rPr>
        <w:t xml:space="preserve"> emissions in the TCZ, the State Council decided to implement the environmental target responsibility instrument, which set SO</w:t>
      </w:r>
      <w:r w:rsidRPr="00D523C8">
        <w:rPr>
          <w:rFonts w:ascii="Times New Roman" w:hAnsi="Times New Roman"/>
          <w:color w:val="000000" w:themeColor="text1"/>
          <w:szCs w:val="22"/>
          <w:vertAlign w:val="subscript"/>
          <w:lang w:val="en-US"/>
        </w:rPr>
        <w:t>2</w:t>
      </w:r>
      <w:r w:rsidRPr="00D523C8">
        <w:rPr>
          <w:rFonts w:ascii="Times New Roman" w:hAnsi="Times New Roman"/>
          <w:color w:val="000000" w:themeColor="text1"/>
          <w:szCs w:val="22"/>
          <w:lang w:val="en-US"/>
        </w:rPr>
        <w:t xml:space="preserve"> mitigation targets for local governments. In addition, SEPA piloted the SO</w:t>
      </w:r>
      <w:r w:rsidRPr="00D523C8">
        <w:rPr>
          <w:rFonts w:ascii="Times New Roman" w:hAnsi="Times New Roman"/>
          <w:color w:val="000000" w:themeColor="text1"/>
          <w:szCs w:val="22"/>
          <w:vertAlign w:val="subscript"/>
          <w:lang w:val="en-US"/>
        </w:rPr>
        <w:t xml:space="preserve">2 </w:t>
      </w:r>
      <w:r w:rsidRPr="00D523C8">
        <w:rPr>
          <w:rFonts w:ascii="Times New Roman" w:hAnsi="Times New Roman"/>
          <w:color w:val="000000" w:themeColor="text1"/>
          <w:szCs w:val="22"/>
          <w:lang w:val="en-US"/>
        </w:rPr>
        <w:t>E</w:t>
      </w:r>
      <w:r w:rsidR="007B69D1">
        <w:rPr>
          <w:rFonts w:ascii="Times New Roman" w:hAnsi="Times New Roman"/>
          <w:color w:val="000000" w:themeColor="text1"/>
          <w:szCs w:val="22"/>
          <w:lang w:val="en-US"/>
        </w:rPr>
        <w:t>mission Trading Scheme (E</w:t>
      </w:r>
      <w:r w:rsidRPr="00D523C8">
        <w:rPr>
          <w:rFonts w:ascii="Times New Roman" w:hAnsi="Times New Roman"/>
          <w:color w:val="000000" w:themeColor="text1"/>
          <w:szCs w:val="22"/>
          <w:lang w:val="en-US"/>
        </w:rPr>
        <w:t>TS</w:t>
      </w:r>
      <w:r w:rsidR="007B69D1">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in nine cities and four provinces</w:t>
      </w:r>
      <w:r w:rsidRPr="00632159">
        <w:rPr>
          <w:rStyle w:val="FootnoteReference"/>
        </w:rPr>
        <w:footnoteReference w:id="4"/>
      </w:r>
      <w:r w:rsidR="00D26C75">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In July 2003, the applicable scope of the </w:t>
      </w:r>
      <w:r w:rsidR="007B69D1">
        <w:rPr>
          <w:rFonts w:ascii="Times New Roman" w:hAnsi="Times New Roman"/>
          <w:color w:val="000000" w:themeColor="text1"/>
          <w:szCs w:val="22"/>
          <w:lang w:val="en-US"/>
        </w:rPr>
        <w:t>PDF</w:t>
      </w:r>
      <w:r w:rsidRPr="00D523C8">
        <w:rPr>
          <w:rFonts w:ascii="Times New Roman" w:hAnsi="Times New Roman"/>
          <w:color w:val="000000" w:themeColor="text1"/>
          <w:szCs w:val="22"/>
          <w:lang w:val="en-US"/>
        </w:rPr>
        <w:t xml:space="preserve"> was expanded beyond the </w:t>
      </w:r>
      <w:r w:rsidRPr="00D523C8">
        <w:rPr>
          <w:rFonts w:ascii="Times New Roman" w:hAnsi="Times New Roman"/>
          <w:color w:val="000000" w:themeColor="text1"/>
          <w:szCs w:val="22"/>
          <w:lang w:val="en-US"/>
        </w:rPr>
        <w:lastRenderedPageBreak/>
        <w:t>TCZ. The charging rate on SO</w:t>
      </w:r>
      <w:r w:rsidRPr="00D523C8">
        <w:rPr>
          <w:rFonts w:ascii="Times New Roman" w:hAnsi="Times New Roman"/>
          <w:color w:val="000000" w:themeColor="text1"/>
          <w:szCs w:val="22"/>
          <w:vertAlign w:val="subscript"/>
          <w:lang w:val="en-US"/>
        </w:rPr>
        <w:t>2</w:t>
      </w:r>
      <w:r w:rsidRPr="00D523C8">
        <w:rPr>
          <w:rFonts w:ascii="Times New Roman" w:hAnsi="Times New Roman"/>
          <w:color w:val="000000" w:themeColor="text1"/>
          <w:szCs w:val="22"/>
          <w:lang w:val="en-US"/>
        </w:rPr>
        <w:t xml:space="preserve"> emissions increased from 0.2 yuan/kg to 0.6 yuan/pollutant equivalent (PE), and the NOx emission started to be charged at a rate of 0.6 yuan/PE in July 2004. In 2004, SEPA tightened up the concentration limits of SO</w:t>
      </w:r>
      <w:r w:rsidRPr="00D523C8">
        <w:rPr>
          <w:rFonts w:ascii="Times New Roman" w:hAnsi="Times New Roman"/>
          <w:color w:val="000000" w:themeColor="text1"/>
          <w:szCs w:val="22"/>
          <w:vertAlign w:val="subscript"/>
          <w:lang w:val="en-US"/>
        </w:rPr>
        <w:t>2</w:t>
      </w:r>
      <w:r w:rsidRPr="00D523C8">
        <w:rPr>
          <w:rFonts w:ascii="Times New Roman" w:hAnsi="Times New Roman"/>
          <w:color w:val="000000" w:themeColor="text1"/>
          <w:szCs w:val="22"/>
          <w:lang w:val="en-US"/>
        </w:rPr>
        <w:t xml:space="preserve"> emissions for coal-fired power plants. </w:t>
      </w:r>
    </w:p>
    <w:p w14:paraId="23D9E2AE" w14:textId="77777777" w:rsidR="00A33133" w:rsidRPr="00D523C8" w:rsidRDefault="00A33133" w:rsidP="00A33133">
      <w:pPr>
        <w:spacing w:line="360" w:lineRule="auto"/>
        <w:ind w:firstLine="720"/>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 xml:space="preserve">From 2003, the NDRC approved a series of wind power concession projects and provided fixed subsidies to cover the costs of project preparations. The government selected concession project developers through a competitive tender system (the concession period was 20–25 years). The on-grid electricity prices of the projects followed the bidding prices. </w:t>
      </w:r>
    </w:p>
    <w:p w14:paraId="78D9FFDB" w14:textId="77777777" w:rsidR="00A33133" w:rsidRPr="00D523C8" w:rsidRDefault="00A33133" w:rsidP="00A33133">
      <w:pPr>
        <w:spacing w:line="360" w:lineRule="auto"/>
        <w:ind w:firstLine="720"/>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The MWR continued to regulate hydropower development. In 2001, the MWR encouraged local governments to provide financial support for the hydroelectricity-based rural electrification program. The ratio of the subsidy from the provincial government versus the subsidy from the central government was set at 2:1 in most areas, and no less than 1:1 in extremely low-income areas. In 2003, the MWR launched the</w:t>
      </w:r>
      <w:r w:rsidRPr="00D523C8">
        <w:rPr>
          <w:rFonts w:ascii="Times New Roman" w:hAnsi="Times New Roman"/>
          <w:i/>
          <w:color w:val="000000" w:themeColor="text1"/>
          <w:szCs w:val="22"/>
          <w:lang w:val="en-US"/>
        </w:rPr>
        <w:t xml:space="preserve"> </w:t>
      </w:r>
      <w:r w:rsidRPr="00D523C8">
        <w:rPr>
          <w:rFonts w:ascii="Times New Roman" w:hAnsi="Times New Roman"/>
          <w:color w:val="000000" w:themeColor="text1"/>
          <w:szCs w:val="22"/>
          <w:lang w:val="en-US"/>
        </w:rPr>
        <w:t>Program on Substituting Small Hydropower for Biofuels. The program layered the policy goal of reducing the ecological damage onto the policy goal of developing small rural hydropower capacity. It encouraged rural households to use electricity instead of biofuels for cooking and heating.</w:t>
      </w:r>
    </w:p>
    <w:p w14:paraId="5E395BCF" w14:textId="45044BD6" w:rsidR="00A33133" w:rsidRPr="00D523C8" w:rsidRDefault="00A33133" w:rsidP="00A33133">
      <w:pPr>
        <w:spacing w:line="360" w:lineRule="auto"/>
        <w:ind w:firstLine="720"/>
        <w:jc w:val="both"/>
        <w:rPr>
          <w:rFonts w:ascii="Times New Roman" w:hAnsi="Times New Roman"/>
          <w:color w:val="000000" w:themeColor="text1"/>
          <w:szCs w:val="22"/>
          <w:lang w:val="en-US"/>
        </w:rPr>
      </w:pPr>
      <w:r w:rsidRPr="00D523C8">
        <w:rPr>
          <w:rFonts w:ascii="Times New Roman" w:hAnsi="Times New Roman"/>
          <w:color w:val="000000" w:themeColor="text1"/>
          <w:szCs w:val="22"/>
          <w:lang w:val="en-US"/>
        </w:rPr>
        <w:t xml:space="preserve">With the Kyoto Protocol effective from 2005 onwards, China operated about half of all of the Clean Development Mechanism (CDM) projects worldwide and gained substantial economic profits from them </w:t>
      </w:r>
      <w:r w:rsidRPr="00D523C8">
        <w:rPr>
          <w:rFonts w:ascii="Times New Roman" w:hAnsi="Times New Roman"/>
          <w:color w:val="000000" w:themeColor="text1"/>
          <w:szCs w:val="22"/>
          <w:lang w:val="en-US"/>
        </w:rPr>
        <w:fldChar w:fldCharType="begin" w:fldLock="1"/>
      </w:r>
      <w:r w:rsidR="005C5928" w:rsidRPr="00D523C8">
        <w:rPr>
          <w:rFonts w:ascii="Times New Roman" w:hAnsi="Times New Roman"/>
          <w:color w:val="000000" w:themeColor="text1"/>
          <w:szCs w:val="22"/>
          <w:lang w:val="en-US"/>
        </w:rPr>
        <w:instrText>ADDIN CSL_CITATION {"citationItems":[{"id":"ITEM-1","itemData":{"ISBN":"9780203117453;020311745X","author":[{"dropping-particle":"","family":"Chen","given":"Gang","non-dropping-particle":"","parse-names":false,"suffix":""}],"id":"ITEM-1","issued":{"date-parts":[["2012"]]},"note":"GE190.C6C44 2012","publisher":"Routledge","publisher-place":"New York","title":"China's climate policy","type":"book"},"uris":["http://www.mendeley.com/documents/?uuid=299ed965-dfe6-407e-a3c6-7c9c34ca5c9b"]}],"mendeley":{"formattedCitation":"[13]","plainTextFormattedCitation":"[13]","previouslyFormattedCitation":"[13]"},"properties":{"noteIndex":0},"schema":"https://github.com/citation-style-language/schema/raw/master/csl-citation.json"}</w:instrText>
      </w:r>
      <w:r w:rsidRPr="00D523C8">
        <w:rPr>
          <w:rFonts w:ascii="Times New Roman" w:hAnsi="Times New Roman"/>
          <w:color w:val="000000" w:themeColor="text1"/>
          <w:szCs w:val="22"/>
          <w:lang w:val="en-US"/>
        </w:rPr>
        <w:fldChar w:fldCharType="separate"/>
      </w:r>
      <w:r w:rsidR="004A4F46" w:rsidRPr="00D523C8">
        <w:rPr>
          <w:rFonts w:ascii="Times New Roman" w:hAnsi="Times New Roman"/>
          <w:noProof/>
          <w:color w:val="000000" w:themeColor="text1"/>
          <w:szCs w:val="22"/>
          <w:lang w:val="en-US"/>
        </w:rPr>
        <w:t>[13]</w:t>
      </w:r>
      <w:r w:rsidRPr="00D523C8">
        <w:rPr>
          <w:rFonts w:ascii="Times New Roman" w:hAnsi="Times New Roman"/>
          <w:color w:val="000000" w:themeColor="text1"/>
          <w:szCs w:val="22"/>
          <w:lang w:val="en-US"/>
        </w:rPr>
        <w:fldChar w:fldCharType="end"/>
      </w:r>
      <w:r w:rsidRPr="00D523C8">
        <w:rPr>
          <w:rFonts w:ascii="Times New Roman" w:hAnsi="Times New Roman"/>
          <w:color w:val="000000" w:themeColor="text1"/>
          <w:szCs w:val="22"/>
          <w:lang w:val="en-US"/>
        </w:rPr>
        <w:t xml:space="preserve">. As many projects were renewable energy projects, operating the CDM had a positive effect on China’s renewable energy development. </w:t>
      </w:r>
    </w:p>
    <w:p w14:paraId="5983F9BA" w14:textId="2D2550F9" w:rsidR="00A33133" w:rsidRPr="00D523C8" w:rsidRDefault="00CF2A9B" w:rsidP="00A33133">
      <w:pPr>
        <w:pStyle w:val="Heading2"/>
        <w:spacing w:before="120" w:after="1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 xml:space="preserve">4.5 Environmental policy mix </w:t>
      </w:r>
      <w:r w:rsidR="00D90522">
        <w:rPr>
          <w:rFonts w:ascii="Times New Roman" w:hAnsi="Times New Roman" w:cs="Times New Roman"/>
          <w:color w:val="000000" w:themeColor="text1"/>
        </w:rPr>
        <w:t>between</w:t>
      </w:r>
      <w:r w:rsidR="00D90522" w:rsidRPr="00D523C8">
        <w:rPr>
          <w:rFonts w:ascii="Times New Roman" w:hAnsi="Times New Roman" w:cs="Times New Roman"/>
          <w:color w:val="000000" w:themeColor="text1"/>
        </w:rPr>
        <w:t xml:space="preserve"> </w:t>
      </w:r>
      <w:r w:rsidR="00A33133" w:rsidRPr="00D523C8">
        <w:rPr>
          <w:rFonts w:ascii="Times New Roman" w:hAnsi="Times New Roman" w:cs="Times New Roman"/>
          <w:color w:val="000000" w:themeColor="text1"/>
        </w:rPr>
        <w:t xml:space="preserve">2006 </w:t>
      </w:r>
      <w:r w:rsidR="00D90522">
        <w:rPr>
          <w:rFonts w:ascii="Times New Roman" w:hAnsi="Times New Roman" w:cs="Times New Roman"/>
          <w:color w:val="000000" w:themeColor="text1"/>
        </w:rPr>
        <w:t xml:space="preserve">and </w:t>
      </w:r>
      <w:r w:rsidR="00A33133" w:rsidRPr="00D523C8">
        <w:rPr>
          <w:rFonts w:ascii="Times New Roman" w:hAnsi="Times New Roman" w:cs="Times New Roman"/>
          <w:color w:val="000000" w:themeColor="text1"/>
        </w:rPr>
        <w:t>2010 (11th</w:t>
      </w:r>
      <w:r w:rsidR="00A33133" w:rsidRPr="00D523C8">
        <w:rPr>
          <w:rFonts w:ascii="Times New Roman" w:hAnsi="Times New Roman" w:cs="Times New Roman"/>
        </w:rPr>
        <w:t xml:space="preserve"> </w:t>
      </w:r>
      <w:r w:rsidR="00A33133" w:rsidRPr="00D523C8">
        <w:rPr>
          <w:rFonts w:ascii="Times New Roman" w:hAnsi="Times New Roman" w:cs="Times New Roman"/>
          <w:color w:val="000000" w:themeColor="text1"/>
        </w:rPr>
        <w:t>FYP)</w:t>
      </w:r>
    </w:p>
    <w:p w14:paraId="37103321" w14:textId="062C7B69"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4.5.1 The background</w:t>
      </w:r>
    </w:p>
    <w:p w14:paraId="03865BAC" w14:textId="42C2B2C7" w:rsidR="00A33133" w:rsidRPr="00D523C8" w:rsidRDefault="00D26C75" w:rsidP="00A33133">
      <w:pPr>
        <w:spacing w:line="360" w:lineRule="auto"/>
        <w:jc w:val="both"/>
        <w:rPr>
          <w:rFonts w:ascii="Times New Roman" w:hAnsi="Times New Roman"/>
          <w:color w:val="000000" w:themeColor="text1"/>
          <w:lang w:val="en-US"/>
        </w:rPr>
      </w:pPr>
      <w:r>
        <w:rPr>
          <w:rFonts w:ascii="Times New Roman" w:hAnsi="Times New Roman"/>
          <w:color w:val="000000" w:themeColor="text1"/>
          <w:lang w:val="en-US"/>
        </w:rPr>
        <w:t>T</w:t>
      </w:r>
      <w:r w:rsidR="00A33133" w:rsidRPr="00D523C8">
        <w:rPr>
          <w:rFonts w:ascii="Times New Roman" w:hAnsi="Times New Roman"/>
          <w:color w:val="000000" w:themeColor="text1"/>
          <w:lang w:val="en-US"/>
        </w:rPr>
        <w:t xml:space="preserve">o address climate change-related issues, </w:t>
      </w:r>
      <w:r>
        <w:rPr>
          <w:rFonts w:ascii="Times New Roman" w:hAnsi="Times New Roman"/>
          <w:color w:val="000000" w:themeColor="text1"/>
          <w:lang w:val="en-US"/>
        </w:rPr>
        <w:t xml:space="preserve">China </w:t>
      </w:r>
      <w:r w:rsidR="00A33133" w:rsidRPr="00D523C8">
        <w:rPr>
          <w:rFonts w:ascii="Times New Roman" w:hAnsi="Times New Roman"/>
          <w:color w:val="000000" w:themeColor="text1"/>
          <w:lang w:val="en-US"/>
        </w:rPr>
        <w:t>established a National Leading Group on Climate Change</w:t>
      </w:r>
      <w:r>
        <w:rPr>
          <w:rFonts w:ascii="Times New Roman" w:hAnsi="Times New Roman"/>
          <w:color w:val="000000" w:themeColor="text1"/>
          <w:lang w:val="en-US"/>
        </w:rPr>
        <w:t xml:space="preserve"> in 2007</w:t>
      </w:r>
      <w:r w:rsidR="00A33133" w:rsidRPr="00D523C8">
        <w:rPr>
          <w:rFonts w:ascii="Times New Roman" w:hAnsi="Times New Roman"/>
          <w:color w:val="000000" w:themeColor="text1"/>
          <w:lang w:val="en-US"/>
        </w:rPr>
        <w:t xml:space="preserve">. It consisted of officials from multiple agencies and </w:t>
      </w:r>
      <w:r w:rsidR="00632159">
        <w:rPr>
          <w:rFonts w:ascii="Times New Roman" w:hAnsi="Times New Roman"/>
          <w:color w:val="000000" w:themeColor="text1"/>
          <w:lang w:val="en-US"/>
        </w:rPr>
        <w:t>fell</w:t>
      </w:r>
      <w:r w:rsidR="00632159" w:rsidRPr="00D523C8">
        <w:rPr>
          <w:rFonts w:ascii="Times New Roman" w:hAnsi="Times New Roman"/>
          <w:color w:val="000000" w:themeColor="text1"/>
          <w:lang w:val="en-US"/>
        </w:rPr>
        <w:t xml:space="preserve"> </w:t>
      </w:r>
      <w:r w:rsidR="00A33133" w:rsidRPr="00D523C8">
        <w:rPr>
          <w:rFonts w:ascii="Times New Roman" w:hAnsi="Times New Roman"/>
          <w:color w:val="000000" w:themeColor="text1"/>
          <w:lang w:val="en-US"/>
        </w:rPr>
        <w:t xml:space="preserve">under the </w:t>
      </w:r>
      <w:r w:rsidR="00632159">
        <w:rPr>
          <w:rFonts w:ascii="Times New Roman" w:hAnsi="Times New Roman"/>
          <w:color w:val="000000" w:themeColor="text1"/>
          <w:lang w:val="en-US"/>
        </w:rPr>
        <w:t xml:space="preserve">authority of </w:t>
      </w:r>
      <w:r w:rsidR="00CB1801">
        <w:rPr>
          <w:rFonts w:ascii="Times New Roman" w:hAnsi="Times New Roman"/>
          <w:color w:val="000000" w:themeColor="text1"/>
          <w:lang w:val="en-US"/>
        </w:rPr>
        <w:t xml:space="preserve">the </w:t>
      </w:r>
      <w:r w:rsidR="00A33133" w:rsidRPr="00D523C8">
        <w:rPr>
          <w:rFonts w:ascii="Times New Roman" w:hAnsi="Times New Roman"/>
          <w:color w:val="000000" w:themeColor="text1"/>
          <w:lang w:val="en-US"/>
        </w:rPr>
        <w:t>NDRC. In 2008, the National Energy Administration (NEA) was established under the NDRC to address energy-related affairs. In March 2008, the government upgraded SEPA (ministerial</w:t>
      </w:r>
      <w:r w:rsidR="0009094D">
        <w:rPr>
          <w:rFonts w:ascii="Times New Roman" w:hAnsi="Times New Roman"/>
          <w:color w:val="000000" w:themeColor="text1"/>
          <w:lang w:val="en-US"/>
        </w:rPr>
        <w:t xml:space="preserve"> </w:t>
      </w:r>
      <w:r w:rsidR="00A33133" w:rsidRPr="00D523C8">
        <w:rPr>
          <w:rFonts w:ascii="Times New Roman" w:hAnsi="Times New Roman"/>
          <w:color w:val="000000" w:themeColor="text1"/>
          <w:lang w:val="en-US"/>
        </w:rPr>
        <w:t xml:space="preserve">level) to </w:t>
      </w:r>
      <w:r w:rsidR="0009094D">
        <w:rPr>
          <w:rFonts w:ascii="Times New Roman" w:hAnsi="Times New Roman"/>
          <w:color w:val="000000" w:themeColor="text1"/>
          <w:lang w:val="en-US"/>
        </w:rPr>
        <w:t xml:space="preserve">the </w:t>
      </w:r>
      <w:r w:rsidR="00A33133" w:rsidRPr="00D523C8">
        <w:rPr>
          <w:rFonts w:ascii="Times New Roman" w:hAnsi="Times New Roman"/>
          <w:color w:val="000000" w:themeColor="text1"/>
          <w:lang w:val="en-US"/>
        </w:rPr>
        <w:t>Ministry of Environmental Protection (MEP</w:t>
      </w:r>
      <w:r w:rsidR="0009094D">
        <w:rPr>
          <w:rFonts w:ascii="Times New Roman" w:hAnsi="Times New Roman"/>
          <w:color w:val="000000" w:themeColor="text1"/>
          <w:lang w:val="en-US"/>
        </w:rPr>
        <w:t>,</w:t>
      </w:r>
      <w:r w:rsidR="00A33133" w:rsidRPr="00D523C8">
        <w:rPr>
          <w:rFonts w:ascii="Times New Roman" w:hAnsi="Times New Roman"/>
          <w:color w:val="000000" w:themeColor="text1"/>
          <w:lang w:val="en-US"/>
        </w:rPr>
        <w:t xml:space="preserve"> cabinet</w:t>
      </w:r>
      <w:r w:rsidR="0009094D">
        <w:rPr>
          <w:rFonts w:ascii="Times New Roman" w:hAnsi="Times New Roman"/>
          <w:color w:val="000000" w:themeColor="text1"/>
          <w:lang w:val="en-US"/>
        </w:rPr>
        <w:t xml:space="preserve"> </w:t>
      </w:r>
      <w:r w:rsidR="00A33133" w:rsidRPr="00D523C8">
        <w:rPr>
          <w:rFonts w:ascii="Times New Roman" w:hAnsi="Times New Roman"/>
          <w:color w:val="000000" w:themeColor="text1"/>
          <w:lang w:val="en-US"/>
        </w:rPr>
        <w:t xml:space="preserve">level) to enhance the regulatory enforcement of environmental protection policies. SEPA was allowed to offer its opinions to the State Council but did not have a direct influence on the major economic and social development decisions. The MEP, however, was a cabinet-level department of the State Council, and had the legal authority to influence the State Council’s decisions, including strengthening the environmental protection measures in the FYPs. As such, the MEP’s opinions were less likely to be neglected </w:t>
      </w:r>
      <w:r w:rsidR="00A33133" w:rsidRPr="00D523C8">
        <w:rPr>
          <w:rFonts w:ascii="Times New Roman" w:hAnsi="Times New Roman"/>
          <w:color w:val="000000" w:themeColor="text1"/>
          <w:lang w:val="en-US"/>
        </w:rPr>
        <w:fldChar w:fldCharType="begin" w:fldLock="1"/>
      </w:r>
      <w:r w:rsidR="005C5928" w:rsidRPr="00D523C8">
        <w:rPr>
          <w:rFonts w:ascii="Times New Roman" w:hAnsi="Times New Roman"/>
          <w:color w:val="000000" w:themeColor="text1"/>
          <w:lang w:val="en-US"/>
        </w:rPr>
        <w:instrText>ADDIN CSL_CITATION {"citationItems":[{"id":"ITEM-1","itemData":{"author":[{"dropping-particle":"","family":"Qiu","given":"Xin","non-dropping-particle":"","parse-names":false,"suffix":""},{"dropping-particle":"","family":"Li","given":"Honglin","non-dropping-particle":"","parse-names":false,"suffix":""}],"container-title":"Environmental Law Reporter","id":"ITEM-1","issue":"39","issued":{"date-parts":[["2009"]]},"page":"10152-10163","publisher":"Environmental Law Institute","publisher-place":"Washington, D.C.","title":"China's environmental super ministry reform: Background, challenges and the future","type":"article-journal","volume":"2"},"uris":["http://www.mendeley.com/documents/?uuid=51ffc7a9-716d-4f47-a33c-850558bdad12"]}],"mendeley":{"formattedCitation":"[14]","plainTextFormattedCitation":"[14]","previouslyFormattedCitation":"[14]"},"properties":{"noteIndex":0},"schema":"https://github.com/citation-style-language/schema/raw/master/csl-citation.json"}</w:instrText>
      </w:r>
      <w:r w:rsidR="00A33133" w:rsidRPr="00D523C8">
        <w:rPr>
          <w:rFonts w:ascii="Times New Roman" w:hAnsi="Times New Roman"/>
          <w:color w:val="000000" w:themeColor="text1"/>
          <w:lang w:val="en-US"/>
        </w:rPr>
        <w:fldChar w:fldCharType="separate"/>
      </w:r>
      <w:r w:rsidR="004A4F46" w:rsidRPr="00D523C8">
        <w:rPr>
          <w:rFonts w:ascii="Times New Roman" w:hAnsi="Times New Roman"/>
          <w:noProof/>
          <w:color w:val="000000" w:themeColor="text1"/>
          <w:lang w:val="en-US"/>
        </w:rPr>
        <w:t>[14]</w:t>
      </w:r>
      <w:r w:rsidR="00A33133" w:rsidRPr="00D523C8">
        <w:rPr>
          <w:rFonts w:ascii="Times New Roman" w:hAnsi="Times New Roman"/>
          <w:color w:val="000000" w:themeColor="text1"/>
          <w:lang w:val="en-US"/>
        </w:rPr>
        <w:fldChar w:fldCharType="end"/>
      </w:r>
      <w:r w:rsidR="00A33133" w:rsidRPr="00D523C8">
        <w:rPr>
          <w:rFonts w:ascii="Times New Roman" w:hAnsi="Times New Roman"/>
          <w:color w:val="000000" w:themeColor="text1"/>
          <w:lang w:val="en-US"/>
        </w:rPr>
        <w:t xml:space="preserve">. </w:t>
      </w:r>
    </w:p>
    <w:p w14:paraId="5477916D" w14:textId="73871B8C"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lastRenderedPageBreak/>
        <w:t>A</w:t>
      </w:r>
      <w:r w:rsidR="00A33133" w:rsidRPr="00D523C8">
        <w:rPr>
          <w:rFonts w:ascii="Times New Roman" w:hAnsi="Times New Roman" w:cs="Times New Roman"/>
          <w:color w:val="000000" w:themeColor="text1"/>
        </w:rPr>
        <w:t>4.5.2 The policy mix</w:t>
      </w:r>
    </w:p>
    <w:p w14:paraId="1B904F51" w14:textId="3E77D698" w:rsidR="005902B3" w:rsidRPr="00D523C8" w:rsidRDefault="00CD76E6" w:rsidP="008C1874">
      <w:pPr>
        <w:spacing w:line="360" w:lineRule="auto"/>
        <w:jc w:val="center"/>
        <w:rPr>
          <w:rFonts w:ascii="Times New Roman" w:eastAsia="Times New Roman" w:hAnsi="Times New Roman"/>
          <w:color w:val="000000" w:themeColor="text1"/>
          <w:lang w:val="en-US"/>
        </w:rPr>
      </w:pPr>
      <w:r w:rsidRPr="00D523C8">
        <w:rPr>
          <w:rFonts w:ascii="Times New Roman" w:eastAsia="Times New Roman" w:hAnsi="Times New Roman"/>
          <w:noProof/>
          <w:color w:val="000000" w:themeColor="text1"/>
          <w:lang w:val="en-US"/>
        </w:rPr>
        <w:drawing>
          <wp:inline distT="0" distB="0" distL="0" distR="0" wp14:anchorId="16704A88" wp14:editId="2E9D6960">
            <wp:extent cx="5401582" cy="54663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licy mix_2006-2010_6Jan2020.png"/>
                    <pic:cNvPicPr/>
                  </pic:nvPicPr>
                  <pic:blipFill rotWithShape="1">
                    <a:blip r:embed="rId10" cstate="print">
                      <a:extLst>
                        <a:ext uri="{28A0092B-C50C-407E-A947-70E740481C1C}">
                          <a14:useLocalDpi xmlns:a14="http://schemas.microsoft.com/office/drawing/2010/main" val="0"/>
                        </a:ext>
                      </a:extLst>
                    </a:blip>
                    <a:srcRect r="13762"/>
                    <a:stretch/>
                  </pic:blipFill>
                  <pic:spPr bwMode="auto">
                    <a:xfrm>
                      <a:off x="0" y="0"/>
                      <a:ext cx="5414246" cy="5479193"/>
                    </a:xfrm>
                    <a:prstGeom prst="rect">
                      <a:avLst/>
                    </a:prstGeom>
                    <a:ln>
                      <a:noFill/>
                    </a:ln>
                    <a:extLst>
                      <a:ext uri="{53640926-AAD7-44D8-BBD7-CCE9431645EC}">
                        <a14:shadowObscured xmlns:a14="http://schemas.microsoft.com/office/drawing/2010/main"/>
                      </a:ext>
                    </a:extLst>
                  </pic:spPr>
                </pic:pic>
              </a:graphicData>
            </a:graphic>
          </wp:inline>
        </w:drawing>
      </w:r>
    </w:p>
    <w:p w14:paraId="6CEF82FE" w14:textId="1AD88907" w:rsidR="00E259BF" w:rsidRPr="00D523C8" w:rsidRDefault="00E259BF" w:rsidP="004A37D5">
      <w:pPr>
        <w:spacing w:line="360" w:lineRule="auto"/>
        <w:jc w:val="center"/>
        <w:rPr>
          <w:rFonts w:ascii="Times New Roman" w:hAnsi="Times New Roman"/>
          <w:color w:val="000000" w:themeColor="text1"/>
          <w:szCs w:val="22"/>
          <w:lang w:val="en-US"/>
        </w:rPr>
      </w:pPr>
      <w:r w:rsidRPr="00D523C8">
        <w:rPr>
          <w:rFonts w:ascii="Times New Roman" w:hAnsi="Times New Roman"/>
          <w:color w:val="000000" w:themeColor="text1"/>
          <w:szCs w:val="22"/>
          <w:lang w:val="en-US"/>
        </w:rPr>
        <w:t>Figure A</w:t>
      </w:r>
      <w:r w:rsidR="004A37D5" w:rsidRPr="00D523C8">
        <w:rPr>
          <w:rFonts w:ascii="Times New Roman" w:hAnsi="Times New Roman"/>
          <w:color w:val="000000" w:themeColor="text1"/>
          <w:szCs w:val="22"/>
          <w:lang w:val="en-US"/>
        </w:rPr>
        <w:t>4</w:t>
      </w:r>
      <w:r w:rsidRPr="00D523C8">
        <w:rPr>
          <w:rFonts w:ascii="Times New Roman" w:hAnsi="Times New Roman"/>
          <w:color w:val="000000" w:themeColor="text1"/>
          <w:szCs w:val="22"/>
          <w:lang w:val="en-US"/>
        </w:rPr>
        <w:t>. Policy mix</w:t>
      </w:r>
      <w:r w:rsidR="0009094D">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 xml:space="preserve"> </w:t>
      </w:r>
      <w:r w:rsidR="004A37D5" w:rsidRPr="00D523C8">
        <w:rPr>
          <w:rFonts w:ascii="Times New Roman" w:hAnsi="Times New Roman"/>
          <w:color w:val="000000" w:themeColor="text1"/>
          <w:szCs w:val="22"/>
          <w:lang w:val="en-US"/>
        </w:rPr>
        <w:t>200</w:t>
      </w:r>
      <w:r w:rsidRPr="00D523C8">
        <w:rPr>
          <w:rFonts w:ascii="Times New Roman" w:hAnsi="Times New Roman"/>
          <w:color w:val="000000" w:themeColor="text1"/>
          <w:szCs w:val="22"/>
          <w:lang w:val="en-US"/>
        </w:rPr>
        <w:t>6</w:t>
      </w:r>
      <w:r w:rsidR="0009094D">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20</w:t>
      </w:r>
      <w:r w:rsidR="004A37D5" w:rsidRPr="00D523C8">
        <w:rPr>
          <w:rFonts w:ascii="Times New Roman" w:hAnsi="Times New Roman"/>
          <w:color w:val="000000" w:themeColor="text1"/>
          <w:szCs w:val="22"/>
          <w:lang w:val="en-US"/>
        </w:rPr>
        <w:t>10</w:t>
      </w:r>
    </w:p>
    <w:p w14:paraId="529D714E" w14:textId="34C18AC0" w:rsidR="00E66E28" w:rsidRPr="00D523C8" w:rsidRDefault="00E66E28" w:rsidP="00E66E28">
      <w:pPr>
        <w:spacing w:after="120"/>
        <w:ind w:left="709" w:firstLine="11"/>
        <w:rPr>
          <w:rFonts w:ascii="Times New Roman" w:hAnsi="Times New Roman"/>
          <w:sz w:val="18"/>
          <w:szCs w:val="20"/>
          <w:lang w:val="en-US"/>
        </w:rPr>
      </w:pPr>
      <w:r w:rsidRPr="00D523C8">
        <w:rPr>
          <w:rFonts w:ascii="Times New Roman" w:hAnsi="Times New Roman"/>
          <w:sz w:val="18"/>
          <w:szCs w:val="20"/>
          <w:lang w:val="en-US"/>
        </w:rPr>
        <w:t xml:space="preserve">Note: </w:t>
      </w:r>
      <w:r w:rsidR="0009094D">
        <w:rPr>
          <w:rFonts w:ascii="Times New Roman" w:hAnsi="Times New Roman"/>
          <w:sz w:val="18"/>
          <w:szCs w:val="20"/>
          <w:lang w:val="en-US"/>
        </w:rPr>
        <w:t>T</w:t>
      </w:r>
      <w:r w:rsidRPr="00D523C8">
        <w:rPr>
          <w:rFonts w:ascii="Times New Roman" w:hAnsi="Times New Roman"/>
          <w:sz w:val="18"/>
          <w:szCs w:val="20"/>
          <w:lang w:val="en-US"/>
        </w:rPr>
        <w:t>he letters in the square brackets show the policy instrument types according to the NATO model. “N”</w:t>
      </w:r>
      <w:r w:rsidR="0009094D">
        <w:rPr>
          <w:rFonts w:ascii="Times New Roman" w:hAnsi="Times New Roman"/>
          <w:sz w:val="18"/>
          <w:szCs w:val="20"/>
          <w:lang w:val="en-US"/>
        </w:rPr>
        <w:t xml:space="preserve"> –</w:t>
      </w:r>
      <w:r w:rsidRPr="00D523C8">
        <w:rPr>
          <w:rFonts w:ascii="Times New Roman" w:hAnsi="Times New Roman"/>
          <w:sz w:val="18"/>
          <w:szCs w:val="20"/>
          <w:lang w:val="en-US"/>
        </w:rPr>
        <w:t xml:space="preserve"> </w:t>
      </w:r>
      <w:proofErr w:type="spellStart"/>
      <w:r w:rsidRPr="00D523C8">
        <w:rPr>
          <w:rFonts w:ascii="Times New Roman" w:hAnsi="Times New Roman"/>
          <w:sz w:val="18"/>
          <w:szCs w:val="20"/>
          <w:lang w:val="en-US"/>
        </w:rPr>
        <w:t>nodality</w:t>
      </w:r>
      <w:proofErr w:type="spellEnd"/>
      <w:r w:rsidRPr="00D523C8">
        <w:rPr>
          <w:rFonts w:ascii="Times New Roman" w:hAnsi="Times New Roman"/>
          <w:sz w:val="18"/>
          <w:szCs w:val="20"/>
          <w:lang w:val="en-US"/>
        </w:rPr>
        <w:t>; “A”</w:t>
      </w:r>
      <w:r w:rsidR="0009094D">
        <w:rPr>
          <w:rFonts w:ascii="Times New Roman" w:hAnsi="Times New Roman"/>
          <w:sz w:val="18"/>
          <w:szCs w:val="20"/>
          <w:lang w:val="en-US"/>
        </w:rPr>
        <w:t xml:space="preserve"> –</w:t>
      </w:r>
      <w:r w:rsidRPr="00D523C8">
        <w:rPr>
          <w:rFonts w:ascii="Times New Roman" w:hAnsi="Times New Roman"/>
          <w:sz w:val="18"/>
          <w:szCs w:val="20"/>
          <w:lang w:val="en-US"/>
        </w:rPr>
        <w:t xml:space="preserve"> authority; “T”</w:t>
      </w:r>
      <w:r w:rsidR="0009094D">
        <w:rPr>
          <w:rFonts w:ascii="Times New Roman" w:hAnsi="Times New Roman"/>
          <w:sz w:val="18"/>
          <w:szCs w:val="20"/>
          <w:lang w:val="en-US"/>
        </w:rPr>
        <w:t xml:space="preserve"> –</w:t>
      </w:r>
      <w:r w:rsidRPr="00D523C8">
        <w:rPr>
          <w:rFonts w:ascii="Times New Roman" w:hAnsi="Times New Roman"/>
          <w:sz w:val="18"/>
          <w:szCs w:val="20"/>
          <w:lang w:val="en-US"/>
        </w:rPr>
        <w:t xml:space="preserve"> treasure; </w:t>
      </w:r>
      <w:r w:rsidR="0009094D">
        <w:rPr>
          <w:rFonts w:ascii="Times New Roman" w:hAnsi="Times New Roman"/>
          <w:sz w:val="18"/>
          <w:szCs w:val="20"/>
          <w:lang w:val="en-US"/>
        </w:rPr>
        <w:t xml:space="preserve">and </w:t>
      </w:r>
      <w:r w:rsidRPr="00D523C8">
        <w:rPr>
          <w:rFonts w:ascii="Times New Roman" w:hAnsi="Times New Roman"/>
          <w:sz w:val="18"/>
          <w:szCs w:val="20"/>
          <w:lang w:val="en-US"/>
        </w:rPr>
        <w:t>“O”</w:t>
      </w:r>
      <w:r w:rsidR="0009094D">
        <w:rPr>
          <w:rFonts w:ascii="Times New Roman" w:hAnsi="Times New Roman"/>
          <w:sz w:val="18"/>
          <w:szCs w:val="20"/>
          <w:lang w:val="en-US"/>
        </w:rPr>
        <w:t xml:space="preserve"> –</w:t>
      </w:r>
      <w:r w:rsidRPr="00D523C8">
        <w:rPr>
          <w:rFonts w:ascii="Times New Roman" w:hAnsi="Times New Roman"/>
          <w:sz w:val="18"/>
          <w:szCs w:val="20"/>
          <w:lang w:val="en-US"/>
        </w:rPr>
        <w:t xml:space="preserve"> organization. * denotes that the program involves multiple types of policy instrument.</w:t>
      </w:r>
    </w:p>
    <w:p w14:paraId="0FBFF818" w14:textId="77777777" w:rsidR="00E66E28" w:rsidRPr="00D523C8" w:rsidRDefault="00E66E28" w:rsidP="004A37D5">
      <w:pPr>
        <w:spacing w:line="360" w:lineRule="auto"/>
        <w:jc w:val="center"/>
        <w:rPr>
          <w:rFonts w:ascii="Times New Roman" w:hAnsi="Times New Roman"/>
          <w:color w:val="000000" w:themeColor="text1"/>
          <w:szCs w:val="22"/>
          <w:lang w:val="en-US"/>
        </w:rPr>
      </w:pPr>
    </w:p>
    <w:p w14:paraId="0A12E86E" w14:textId="20B397C4" w:rsidR="00A33133" w:rsidRPr="00D523C8" w:rsidRDefault="00A33133" w:rsidP="00A33133">
      <w:pPr>
        <w:spacing w:line="360" w:lineRule="auto"/>
        <w:jc w:val="both"/>
        <w:rPr>
          <w:rFonts w:ascii="Times New Roman" w:eastAsia="Times New Roman" w:hAnsi="Times New Roman"/>
          <w:color w:val="000000" w:themeColor="text1"/>
          <w:lang w:val="en-US"/>
        </w:rPr>
      </w:pPr>
      <w:r w:rsidRPr="00D523C8">
        <w:rPr>
          <w:rFonts w:ascii="Times New Roman" w:eastAsia="Times New Roman" w:hAnsi="Times New Roman"/>
          <w:color w:val="000000" w:themeColor="text1"/>
          <w:lang w:val="en-US"/>
        </w:rPr>
        <w:t>In April 2007, the NDRC decided to shut down small coal-fired power plants; this was facilitated by the instrument of reducing the on-grid electricity price of these power plants. The policy goal was to enhance energy savings and emission abatement in the electricity sector. In July 2007, to reduce SO</w:t>
      </w:r>
      <w:r w:rsidRPr="00D523C8">
        <w:rPr>
          <w:rFonts w:ascii="Times New Roman" w:eastAsia="Times New Roman" w:hAnsi="Times New Roman"/>
          <w:color w:val="000000" w:themeColor="text1"/>
          <w:vertAlign w:val="subscript"/>
          <w:lang w:val="en-US"/>
        </w:rPr>
        <w:t>2</w:t>
      </w:r>
      <w:r w:rsidRPr="00D523C8">
        <w:rPr>
          <w:rFonts w:ascii="Times New Roman" w:eastAsia="Times New Roman" w:hAnsi="Times New Roman"/>
          <w:color w:val="000000" w:themeColor="text1"/>
          <w:lang w:val="en-US"/>
        </w:rPr>
        <w:t xml:space="preserve"> emissions, the government implemented an electricity price premium for coal-fired power plants with desul</w:t>
      </w:r>
      <w:r w:rsidR="0076341A">
        <w:rPr>
          <w:rFonts w:ascii="Times New Roman" w:eastAsia="Times New Roman" w:hAnsi="Times New Roman"/>
          <w:color w:val="000000" w:themeColor="text1"/>
          <w:lang w:val="en-US"/>
        </w:rPr>
        <w:t>ph</w:t>
      </w:r>
      <w:r w:rsidRPr="00D523C8">
        <w:rPr>
          <w:rFonts w:ascii="Times New Roman" w:eastAsia="Times New Roman" w:hAnsi="Times New Roman"/>
          <w:color w:val="000000" w:themeColor="text1"/>
          <w:lang w:val="en-US"/>
        </w:rPr>
        <w:t xml:space="preserve">urization equipment. The premium was 0.015 yuan/kWh, which was added to the on-grid electricity price. </w:t>
      </w:r>
    </w:p>
    <w:p w14:paraId="126B71AC" w14:textId="7CECE5DF" w:rsidR="00A33133" w:rsidRPr="00D523C8" w:rsidRDefault="00A33133" w:rsidP="00A33133">
      <w:pPr>
        <w:spacing w:line="360" w:lineRule="auto"/>
        <w:ind w:firstLine="720"/>
        <w:jc w:val="both"/>
        <w:rPr>
          <w:rFonts w:ascii="Times New Roman" w:hAnsi="Times New Roman"/>
          <w:color w:val="000000" w:themeColor="text1"/>
          <w:lang w:val="en-US"/>
        </w:rPr>
      </w:pPr>
      <w:r w:rsidRPr="00D523C8">
        <w:rPr>
          <w:rFonts w:ascii="Times New Roman" w:hAnsi="Times New Roman"/>
          <w:color w:val="000000" w:themeColor="text1"/>
          <w:lang w:val="en-US"/>
        </w:rPr>
        <w:t xml:space="preserve">A cornerstone of China’s renewable energy development is the Renewable Energy Law, issued in 2005 and effective </w:t>
      </w:r>
      <w:r w:rsidR="00DE7805">
        <w:rPr>
          <w:rFonts w:ascii="Times New Roman" w:hAnsi="Times New Roman"/>
          <w:color w:val="000000" w:themeColor="text1"/>
          <w:lang w:val="en-US"/>
        </w:rPr>
        <w:t xml:space="preserve">from </w:t>
      </w:r>
      <w:r w:rsidRPr="00D523C8">
        <w:rPr>
          <w:rFonts w:ascii="Times New Roman" w:hAnsi="Times New Roman"/>
          <w:color w:val="000000" w:themeColor="text1"/>
          <w:lang w:val="en-US"/>
        </w:rPr>
        <w:t>2006. It</w:t>
      </w:r>
      <w:r w:rsidRPr="00D523C8">
        <w:rPr>
          <w:rFonts w:ascii="Times New Roman" w:hAnsi="Times New Roman"/>
          <w:i/>
          <w:color w:val="000000" w:themeColor="text1"/>
          <w:lang w:val="en-US"/>
        </w:rPr>
        <w:t xml:space="preserve"> </w:t>
      </w:r>
      <w:r w:rsidRPr="00D523C8">
        <w:rPr>
          <w:rFonts w:ascii="Times New Roman" w:hAnsi="Times New Roman"/>
          <w:color w:val="000000" w:themeColor="text1"/>
          <w:lang w:val="en-US"/>
        </w:rPr>
        <w:t xml:space="preserve">put in place a package of policy instruments, </w:t>
      </w:r>
      <w:r w:rsidRPr="00D523C8">
        <w:rPr>
          <w:rFonts w:ascii="Times New Roman" w:hAnsi="Times New Roman"/>
          <w:color w:val="000000" w:themeColor="text1"/>
          <w:lang w:val="en-US"/>
        </w:rPr>
        <w:lastRenderedPageBreak/>
        <w:t xml:space="preserve">including </w:t>
      </w:r>
      <w:r w:rsidR="007B69D1">
        <w:rPr>
          <w:rFonts w:ascii="Times New Roman" w:hAnsi="Times New Roman"/>
          <w:color w:val="000000" w:themeColor="text1"/>
          <w:lang w:val="en-US"/>
        </w:rPr>
        <w:t>Feed-In Tariffs (</w:t>
      </w:r>
      <w:r w:rsidRPr="00D523C8">
        <w:rPr>
          <w:rFonts w:ascii="Times New Roman" w:hAnsi="Times New Roman"/>
          <w:color w:val="000000" w:themeColor="text1"/>
          <w:lang w:val="en-US"/>
        </w:rPr>
        <w:t>FIT</w:t>
      </w:r>
      <w:r w:rsidR="007B69D1">
        <w:rPr>
          <w:rFonts w:ascii="Times New Roman" w:hAnsi="Times New Roman"/>
          <w:color w:val="000000" w:themeColor="text1"/>
          <w:lang w:val="en-US"/>
        </w:rPr>
        <w:t>s)</w:t>
      </w:r>
      <w:r w:rsidRPr="00D523C8">
        <w:rPr>
          <w:rFonts w:ascii="Times New Roman" w:hAnsi="Times New Roman"/>
          <w:color w:val="000000" w:themeColor="text1"/>
          <w:lang w:val="en-US"/>
        </w:rPr>
        <w:t xml:space="preserve">. Accordingly, (1) for solar power projects, the on-grid electricity price should be determined by the government authorities following the principle of “reasonable costs plus reasonable profits”; (2) for wind power projects, the government regulates the on-grid electricity price with reference to the successful bidding price; and (3) grid firms are obliged to buy renewable electricity and they can levy surcharges on electricity consumers to cover the extra costs. </w:t>
      </w:r>
    </w:p>
    <w:p w14:paraId="3EF47F51" w14:textId="2237FA87" w:rsidR="00A33133" w:rsidRPr="00D523C8" w:rsidRDefault="00DE7805" w:rsidP="00A33133">
      <w:pPr>
        <w:autoSpaceDE w:val="0"/>
        <w:autoSpaceDN w:val="0"/>
        <w:adjustRightInd w:val="0"/>
        <w:spacing w:line="360" w:lineRule="auto"/>
        <w:ind w:firstLine="720"/>
        <w:jc w:val="both"/>
        <w:rPr>
          <w:rFonts w:ascii="Times New Roman" w:hAnsi="Times New Roman"/>
          <w:color w:val="000000" w:themeColor="text1"/>
          <w:lang w:val="en-US"/>
        </w:rPr>
      </w:pPr>
      <w:r>
        <w:rPr>
          <w:rFonts w:ascii="Times New Roman" w:hAnsi="Times New Roman"/>
          <w:color w:val="000000" w:themeColor="text1"/>
          <w:lang w:val="en-US"/>
        </w:rPr>
        <w:t>Between 2006 and 2010</w:t>
      </w:r>
      <w:r w:rsidR="00A33133" w:rsidRPr="00D523C8">
        <w:rPr>
          <w:rFonts w:ascii="Times New Roman" w:hAnsi="Times New Roman"/>
          <w:color w:val="000000" w:themeColor="text1"/>
          <w:lang w:val="en-US"/>
        </w:rPr>
        <w:t>, the NDRC</w:t>
      </w:r>
      <w:r w:rsidR="00A33133" w:rsidRPr="00D523C8">
        <w:rPr>
          <w:rFonts w:ascii="Times New Roman" w:hAnsi="Times New Roman"/>
          <w:i/>
          <w:color w:val="000000" w:themeColor="text1"/>
          <w:lang w:val="en-US"/>
        </w:rPr>
        <w:t xml:space="preserve"> </w:t>
      </w:r>
      <w:r w:rsidR="00A33133" w:rsidRPr="00D523C8">
        <w:rPr>
          <w:rFonts w:ascii="Times New Roman" w:hAnsi="Times New Roman"/>
          <w:color w:val="000000" w:themeColor="text1"/>
          <w:lang w:val="en-US"/>
        </w:rPr>
        <w:t xml:space="preserve">approved the tariff values for several FIT projects. For wind power projects, the tariff rates varied between 0.51 and 0.61 yuan/kwh. For solar power projects, the tariff rate was higher, ranging from 1.15 to 4 yuan/kwh. Hydropower projects were facing stricter environmental requirements. In 2006, SEPA </w:t>
      </w:r>
      <w:r>
        <w:rPr>
          <w:rFonts w:ascii="Times New Roman" w:hAnsi="Times New Roman"/>
          <w:color w:val="000000" w:themeColor="text1"/>
          <w:lang w:val="en-US"/>
        </w:rPr>
        <w:t xml:space="preserve">and </w:t>
      </w:r>
      <w:r w:rsidR="00A33133" w:rsidRPr="00D523C8">
        <w:rPr>
          <w:rFonts w:ascii="Times New Roman" w:hAnsi="Times New Roman"/>
          <w:color w:val="000000" w:themeColor="text1"/>
          <w:lang w:val="en-US"/>
        </w:rPr>
        <w:t>the MWR addressed the application of the EIA to hydroelectric projects. In August 2006, the MWR suggested shutting down some hydropower stations that were inefficient in operation and had negative environmental impacts.</w:t>
      </w:r>
    </w:p>
    <w:p w14:paraId="44C52A3B" w14:textId="3ED6205A" w:rsidR="00A33133" w:rsidRPr="00D523C8" w:rsidRDefault="00A33133" w:rsidP="00A33133">
      <w:pPr>
        <w:spacing w:line="360" w:lineRule="auto"/>
        <w:ind w:firstLine="720"/>
        <w:jc w:val="both"/>
        <w:rPr>
          <w:rFonts w:ascii="Times New Roman" w:hAnsi="Times New Roman"/>
          <w:color w:val="000000" w:themeColor="text1"/>
          <w:lang w:val="en-US"/>
        </w:rPr>
      </w:pPr>
      <w:r w:rsidRPr="00D523C8">
        <w:rPr>
          <w:rFonts w:ascii="Times New Roman" w:hAnsi="Times New Roman"/>
          <w:color w:val="000000" w:themeColor="text1"/>
          <w:lang w:val="en-US"/>
        </w:rPr>
        <w:t xml:space="preserve">In July 2009, the government launched the “Golden Sun” demonstration projects to encourage the deployment of solar </w:t>
      </w:r>
      <w:r w:rsidR="00D90522">
        <w:rPr>
          <w:rFonts w:ascii="Times New Roman" w:hAnsi="Times New Roman"/>
          <w:color w:val="000000" w:themeColor="text1"/>
          <w:lang w:val="en-US"/>
        </w:rPr>
        <w:t>photovoltaic (</w:t>
      </w:r>
      <w:r w:rsidRPr="00D523C8">
        <w:rPr>
          <w:rFonts w:ascii="Times New Roman" w:hAnsi="Times New Roman"/>
          <w:color w:val="000000" w:themeColor="text1"/>
          <w:lang w:val="en-US"/>
        </w:rPr>
        <w:t>PV</w:t>
      </w:r>
      <w:r w:rsidR="00D90522">
        <w:rPr>
          <w:rFonts w:ascii="Times New Roman" w:hAnsi="Times New Roman"/>
          <w:color w:val="000000" w:themeColor="text1"/>
          <w:lang w:val="en-US"/>
        </w:rPr>
        <w:t>)</w:t>
      </w:r>
      <w:r w:rsidRPr="00D523C8">
        <w:rPr>
          <w:rFonts w:ascii="Times New Roman" w:hAnsi="Times New Roman"/>
          <w:color w:val="000000" w:themeColor="text1"/>
          <w:lang w:val="en-US"/>
        </w:rPr>
        <w:t xml:space="preserve"> technologies. To facilitate the implementation of the projects, subsidy schemes were used, including a subsidy that covered 50% of the major capital costs of on-grid projects and 70% of the major capital costs of off-grid projects, with a subsidy of 4 yuan/kwh for on-grid projects and 10 yuan/kWh for off-grid projects to cover other costs. </w:t>
      </w:r>
    </w:p>
    <w:p w14:paraId="5AF1F12C" w14:textId="73F5B388" w:rsidR="00A33133" w:rsidRPr="00D523C8" w:rsidRDefault="00A33133" w:rsidP="00A33133">
      <w:pPr>
        <w:spacing w:line="360" w:lineRule="auto"/>
        <w:ind w:firstLine="720"/>
        <w:jc w:val="both"/>
        <w:rPr>
          <w:rFonts w:ascii="Times New Roman" w:hAnsi="Times New Roman"/>
          <w:color w:val="000000" w:themeColor="text1"/>
          <w:lang w:val="en-US"/>
        </w:rPr>
      </w:pPr>
      <w:r w:rsidRPr="00D523C8">
        <w:rPr>
          <w:rFonts w:ascii="Times New Roman" w:hAnsi="Times New Roman"/>
          <w:color w:val="000000" w:themeColor="text1"/>
          <w:lang w:val="en-US"/>
        </w:rPr>
        <w:t xml:space="preserve">In 2010, the NDRC launched the “Low-Carbon Provinces” and “Low-Carbon Cities” pilots, which could be considered </w:t>
      </w:r>
      <w:r w:rsidR="00DE7805">
        <w:rPr>
          <w:rFonts w:ascii="Times New Roman" w:hAnsi="Times New Roman"/>
          <w:color w:val="000000" w:themeColor="text1"/>
          <w:lang w:val="en-US"/>
        </w:rPr>
        <w:t xml:space="preserve">as </w:t>
      </w:r>
      <w:r w:rsidRPr="00D523C8">
        <w:rPr>
          <w:rFonts w:ascii="Times New Roman" w:hAnsi="Times New Roman"/>
          <w:color w:val="000000" w:themeColor="text1"/>
          <w:lang w:val="en-US"/>
        </w:rPr>
        <w:t xml:space="preserve">city-branding exercises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jclepro.2016.03.083","author":[{"dropping-particle":"","family":"Jong","given":"Martin","non-dropping-particle":"de","parse-names":false,"suffix":""},{"dropping-particle":"","family":"Yu","given":"Chang","non-dropping-particle":"","parse-names":false,"suffix":""},{"dropping-particle":"","family":"Joss","given":"Simon","non-dropping-particle":"","parse-names":false,"suffix":""},{"dropping-particle":"","family":"Wennersten","given":"Ronald","non-dropping-particle":"","parse-names":false,"suffix":""},{"dropping-particle":"","family":"Yu","given":"Li","non-dropping-particle":"","parse-names":false,"suffix":""},{"dropping-particle":"","family":"Xiaoling","given":"Zhang","non-dropping-particle":"","parse-names":false,"suffix":""},{"dropping-particle":"","family":"Xin","given":"Ma","non-dropping-particle":"","parse-names":false,"suffix":""}],"container-title":"Journal of Cleaner Production","id":"ITEM-1","issued":{"date-parts":[["2016"]]},"page":"31-41","title":"Eco city development in China: Addressing the policy implementation challenge","type":"article-journal","volume":"134"},"uris":["http://www.mendeley.com/documents/?uuid=a18c2165-c169-4cf6-8bb4-91af12b6800c"]}],"mendeley":{"formattedCitation":"[15]","plainTextFormattedCitation":"[15]","previouslyFormattedCitation":"[15]"},"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[15]</w:t>
      </w:r>
      <w:r w:rsidRPr="00D523C8">
        <w:rPr>
          <w:rFonts w:ascii="Times New Roman" w:hAnsi="Times New Roman"/>
          <w:lang w:val="en-US"/>
        </w:rPr>
        <w:fldChar w:fldCharType="end"/>
      </w:r>
      <w:r w:rsidRPr="00D523C8">
        <w:rPr>
          <w:rFonts w:ascii="Times New Roman" w:hAnsi="Times New Roman"/>
          <w:color w:val="000000" w:themeColor="text1"/>
          <w:lang w:val="en-US"/>
        </w:rPr>
        <w:t>. The central government did not assign specific CO</w:t>
      </w:r>
      <w:r w:rsidRPr="00D523C8">
        <w:rPr>
          <w:rFonts w:ascii="Times New Roman" w:hAnsi="Times New Roman"/>
          <w:color w:val="000000" w:themeColor="text1"/>
          <w:vertAlign w:val="subscript"/>
          <w:lang w:val="en-US"/>
        </w:rPr>
        <w:t>2</w:t>
      </w:r>
      <w:r w:rsidRPr="00D523C8">
        <w:rPr>
          <w:rFonts w:ascii="Times New Roman" w:hAnsi="Times New Roman"/>
          <w:color w:val="000000" w:themeColor="text1"/>
          <w:lang w:val="en-US"/>
        </w:rPr>
        <w:t xml:space="preserve"> mitigation targets but gave local governments the autonomy to adopt innovative policy instruments to explore low-carbon development pathways. </w:t>
      </w:r>
    </w:p>
    <w:p w14:paraId="0EBE19BA" w14:textId="13C20B08" w:rsidR="00A33133" w:rsidRPr="00D523C8" w:rsidRDefault="00CF2A9B" w:rsidP="00A33133">
      <w:pPr>
        <w:pStyle w:val="Heading2"/>
        <w:spacing w:before="120" w:after="1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 xml:space="preserve">4.6 Environmental policy mix </w:t>
      </w:r>
      <w:r w:rsidR="00DE7805">
        <w:rPr>
          <w:rFonts w:ascii="Times New Roman" w:hAnsi="Times New Roman" w:cs="Times New Roman"/>
          <w:color w:val="000000" w:themeColor="text1"/>
        </w:rPr>
        <w:t xml:space="preserve">between </w:t>
      </w:r>
      <w:r w:rsidR="00A33133" w:rsidRPr="00D523C8">
        <w:rPr>
          <w:rFonts w:ascii="Times New Roman" w:hAnsi="Times New Roman" w:cs="Times New Roman"/>
          <w:color w:val="000000" w:themeColor="text1"/>
        </w:rPr>
        <w:t xml:space="preserve">2011 </w:t>
      </w:r>
      <w:r w:rsidR="00DE7805">
        <w:rPr>
          <w:rFonts w:ascii="Times New Roman" w:hAnsi="Times New Roman" w:cs="Times New Roman"/>
          <w:color w:val="000000" w:themeColor="text1"/>
        </w:rPr>
        <w:t xml:space="preserve">and </w:t>
      </w:r>
      <w:r w:rsidR="00A33133" w:rsidRPr="00D523C8">
        <w:rPr>
          <w:rFonts w:ascii="Times New Roman" w:hAnsi="Times New Roman" w:cs="Times New Roman"/>
          <w:color w:val="000000" w:themeColor="text1"/>
        </w:rPr>
        <w:t>2015 (12th</w:t>
      </w:r>
      <w:r w:rsidR="00A33133" w:rsidRPr="00D523C8">
        <w:rPr>
          <w:rFonts w:ascii="Times New Roman" w:hAnsi="Times New Roman" w:cs="Times New Roman"/>
        </w:rPr>
        <w:t xml:space="preserve"> </w:t>
      </w:r>
      <w:r w:rsidR="00A33133" w:rsidRPr="00D523C8">
        <w:rPr>
          <w:rFonts w:ascii="Times New Roman" w:hAnsi="Times New Roman" w:cs="Times New Roman"/>
          <w:color w:val="000000" w:themeColor="text1"/>
        </w:rPr>
        <w:t>FYP)</w:t>
      </w:r>
    </w:p>
    <w:p w14:paraId="2DEDA7E6" w14:textId="16E10546"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4.6.1 The background</w:t>
      </w:r>
    </w:p>
    <w:p w14:paraId="114EE64B" w14:textId="36E1F2F8" w:rsidR="00A33133" w:rsidRPr="00D523C8" w:rsidRDefault="00A33133" w:rsidP="00A33133">
      <w:pPr>
        <w:spacing w:after="120" w:line="360" w:lineRule="auto"/>
        <w:jc w:val="both"/>
        <w:rPr>
          <w:rFonts w:ascii="Times New Roman" w:hAnsi="Times New Roman"/>
          <w:color w:val="000000" w:themeColor="text1"/>
          <w:lang w:val="en-US"/>
        </w:rPr>
      </w:pPr>
      <w:r w:rsidRPr="00D523C8">
        <w:rPr>
          <w:rFonts w:ascii="Times New Roman" w:hAnsi="Times New Roman"/>
          <w:color w:val="000000" w:themeColor="text1"/>
          <w:lang w:val="en-US"/>
        </w:rPr>
        <w:t xml:space="preserve">In June 2015, in response to international pressures and </w:t>
      </w:r>
      <w:r w:rsidR="00DE7805">
        <w:rPr>
          <w:rFonts w:ascii="Times New Roman" w:hAnsi="Times New Roman"/>
          <w:color w:val="000000" w:themeColor="text1"/>
          <w:lang w:val="en-US"/>
        </w:rPr>
        <w:t xml:space="preserve">the </w:t>
      </w:r>
      <w:r w:rsidRPr="00D523C8">
        <w:rPr>
          <w:rFonts w:ascii="Times New Roman" w:hAnsi="Times New Roman"/>
          <w:color w:val="000000" w:themeColor="text1"/>
          <w:lang w:val="en-US"/>
        </w:rPr>
        <w:t>domestic demand for a sustainable transition, China submitted the report Enhanced Actions on Climate Change: China’s Intended Nationally Determined Contributions (INDC) to the Secretariat of the UNFCCC and committed to decreasing CO</w:t>
      </w:r>
      <w:r w:rsidRPr="00D523C8">
        <w:rPr>
          <w:rFonts w:ascii="Times New Roman" w:hAnsi="Times New Roman"/>
          <w:color w:val="000000" w:themeColor="text1"/>
          <w:vertAlign w:val="subscript"/>
          <w:lang w:val="en-US"/>
        </w:rPr>
        <w:t>2</w:t>
      </w:r>
      <w:r w:rsidRPr="00D523C8">
        <w:rPr>
          <w:rFonts w:ascii="Times New Roman" w:hAnsi="Times New Roman"/>
          <w:color w:val="000000" w:themeColor="text1"/>
          <w:lang w:val="en-US"/>
        </w:rPr>
        <w:t xml:space="preserve"> emission intensity</w:t>
      </w:r>
      <w:r w:rsidRPr="00632159">
        <w:rPr>
          <w:rStyle w:val="FootnoteReference"/>
        </w:rPr>
        <w:footnoteReference w:id="5"/>
      </w:r>
      <w:r w:rsidRPr="00D523C8">
        <w:rPr>
          <w:rFonts w:ascii="Times New Roman" w:hAnsi="Times New Roman"/>
          <w:color w:val="000000" w:themeColor="text1"/>
          <w:lang w:val="en-US"/>
        </w:rPr>
        <w:t xml:space="preserve"> by 60</w:t>
      </w:r>
      <w:r w:rsidR="00DE7805">
        <w:rPr>
          <w:rFonts w:ascii="Times New Roman" w:hAnsi="Times New Roman"/>
          <w:color w:val="000000" w:themeColor="text1"/>
          <w:lang w:val="en-US"/>
        </w:rPr>
        <w:t>%</w:t>
      </w:r>
      <w:r w:rsidRPr="00D523C8">
        <w:rPr>
          <w:rFonts w:ascii="Times New Roman" w:hAnsi="Times New Roman"/>
          <w:color w:val="000000" w:themeColor="text1"/>
          <w:lang w:val="en-US"/>
        </w:rPr>
        <w:t xml:space="preserve">–65% relative to 2005 levels </w:t>
      </w:r>
      <w:r w:rsidR="00DE7805" w:rsidRPr="00D523C8">
        <w:rPr>
          <w:rFonts w:ascii="Times New Roman" w:hAnsi="Times New Roman"/>
          <w:color w:val="000000" w:themeColor="text1"/>
          <w:lang w:val="en-US"/>
        </w:rPr>
        <w:t>by 2030</w:t>
      </w:r>
      <w:r w:rsidR="00DE7805">
        <w:rPr>
          <w:rFonts w:ascii="Times New Roman" w:hAnsi="Times New Roman"/>
          <w:color w:val="000000" w:themeColor="text1"/>
          <w:lang w:val="en-US"/>
        </w:rPr>
        <w:t xml:space="preserve">, as well as to </w:t>
      </w:r>
      <w:r w:rsidRPr="00D523C8">
        <w:rPr>
          <w:rFonts w:ascii="Times New Roman" w:hAnsi="Times New Roman"/>
          <w:bCs/>
          <w:color w:val="000000" w:themeColor="text1"/>
          <w:lang w:val="en-US"/>
        </w:rPr>
        <w:t xml:space="preserve">increasing the share of non-fossil fuel energy in the primary energy consumption to 20% by 2030 </w:t>
      </w:r>
      <w:r w:rsidRPr="00D523C8">
        <w:rPr>
          <w:rFonts w:ascii="Times New Roman" w:hAnsi="Times New Roman"/>
          <w:bCs/>
          <w:color w:val="000000" w:themeColor="text1"/>
          <w:lang w:val="en-US"/>
        </w:rPr>
        <w:fldChar w:fldCharType="begin" w:fldLock="1"/>
      </w:r>
      <w:r w:rsidR="005C5928" w:rsidRPr="00D523C8">
        <w:rPr>
          <w:rFonts w:ascii="Times New Roman" w:hAnsi="Times New Roman"/>
          <w:bCs/>
          <w:color w:val="000000" w:themeColor="text1"/>
          <w:lang w:val="en-US"/>
        </w:rPr>
        <w:instrText>ADDIN CSL_CITATION {"citationItems":[{"id":"ITEM-1","itemData":{"author":[{"dropping-particle":"","family":"NDRC of China","given":"","non-dropping-particle":"","parse-names":false,"suffix":""}],"id":"ITEM-1","issued":{"date-parts":[["2015"]]},"publisher":"National Development and Reform Commission, China","title":"Enhanced actions on climate change: China’s Intended Nationally Determined Contributions (INDCs). Submitted to UNFCCC.","type":"report"},"uris":["http://www.mendeley.com/documents/?uuid=be29845c-2d50-4046-b9a5-4c45d26e4aa2"]}],"mendeley":{"formattedCitation":"[16]","plainTextFormattedCitation":"[16]","previouslyFormattedCitation":"[16]"},"properties":{"noteIndex":0},"schema":"https://github.com/citation-style-language/schema/raw/master/csl-citation.json"}</w:instrText>
      </w:r>
      <w:r w:rsidRPr="00D523C8">
        <w:rPr>
          <w:rFonts w:ascii="Times New Roman" w:hAnsi="Times New Roman"/>
          <w:bCs/>
          <w:color w:val="000000" w:themeColor="text1"/>
          <w:lang w:val="en-US"/>
        </w:rPr>
        <w:fldChar w:fldCharType="separate"/>
      </w:r>
      <w:r w:rsidR="004A4F46" w:rsidRPr="00D523C8">
        <w:rPr>
          <w:rFonts w:ascii="Times New Roman" w:hAnsi="Times New Roman"/>
          <w:bCs/>
          <w:noProof/>
          <w:color w:val="000000" w:themeColor="text1"/>
          <w:lang w:val="en-US"/>
        </w:rPr>
        <w:t>[16]</w:t>
      </w:r>
      <w:r w:rsidRPr="00D523C8">
        <w:rPr>
          <w:rFonts w:ascii="Times New Roman" w:hAnsi="Times New Roman"/>
          <w:bCs/>
          <w:color w:val="000000" w:themeColor="text1"/>
          <w:lang w:val="en-US"/>
        </w:rPr>
        <w:fldChar w:fldCharType="end"/>
      </w:r>
      <w:r w:rsidRPr="00D523C8">
        <w:rPr>
          <w:rFonts w:ascii="Times New Roman" w:hAnsi="Times New Roman"/>
          <w:bCs/>
          <w:color w:val="000000" w:themeColor="text1"/>
          <w:lang w:val="en-US"/>
        </w:rPr>
        <w:t>.</w:t>
      </w:r>
      <w:r w:rsidRPr="00D523C8">
        <w:rPr>
          <w:rFonts w:ascii="Times New Roman" w:hAnsi="Times New Roman"/>
          <w:color w:val="000000" w:themeColor="text1"/>
          <w:lang w:val="en-US"/>
        </w:rPr>
        <w:t xml:space="preserve"> In the electricity sector, the government kicked off another round of market-oriented reforms in 2015 </w:t>
      </w:r>
      <w:r w:rsidRPr="00D523C8">
        <w:rPr>
          <w:rFonts w:ascii="Times New Roman" w:hAnsi="Times New Roman"/>
          <w:color w:val="000000" w:themeColor="text1"/>
          <w:lang w:val="en-US"/>
        </w:rPr>
        <w:fldChar w:fldCharType="begin" w:fldLock="1"/>
      </w:r>
      <w:r w:rsidR="005C5928" w:rsidRPr="00D523C8">
        <w:rPr>
          <w:rFonts w:ascii="Times New Roman" w:hAnsi="Times New Roman"/>
          <w:color w:val="000000" w:themeColor="text1"/>
          <w:lang w:val="en-US"/>
        </w:rPr>
        <w:instrText>ADDIN CSL_CITATION {"citationItems":[{"id":"ITEM-1","itemData":{"DOI":"10.1016/j.rser.2015.12.203","ISBN":"1364-0321","ISSN":"18790690","abstract":"More than a decade ago, in Chinas electric power industry, the investment for generation side and power grids was inadequate and the gap between power supply and demand kept enlarging. In order to relief the problems above, power industry reform has been carried out in 2002 under the guidance of \"No. 5 Document\" by the Central Government. The reform in 2002 has made a series of achievements, including the enhancement of operation efficiency of power industry and the fulfillment of power demand all over the country. During the past decade, as the rapid development of the society and economy, the external environment of Chinas power industry has changed greatly. However, the pricing and planning mechanism of Chinas power industry still operates following the requirements of \"No. 5 Document\", this has led to a number of problems including twisted pricing mechanism, irrational power system planning, inefficient utilization of renewable energy and so on. These problems have not only hindered the development of power industry in China for quite a long time, but also brought negative influence on the business operation of upstream and downstream industries. Therefore, Chinese government has issued \"No. 9 Document\" in 2015 and launched a new round of power industry reform. Policies were carried out to form new pricing mechanism, new policies about renewable energy generation and power system planning process to solve the problems mentioned above. This paper has reviewed the history of reform in 2002 and summarized the existing problems of Chinas power industry. Besides, the main policies of \"No. 9 Document\" were deeply analyzed, and their significance as well as backwards were illustrated. At last, solutions were proposed accordingly and these solutions have considerable theoretical and practical significance to Chinas electric power industry reform in the future.","author":[{"dropping-particle":"","family":"Zeng","given":"Ming","non-dropping-particle":"","parse-names":false,"suffix":""},{"dropping-particle":"","family":"Yang","given":"Yongqi","non-dropping-particle":"","parse-names":false,"suffix":""},{"dropping-particle":"","family":"Wang","given":"Lihua","non-dropping-particle":"","parse-names":false,"suffix":""},{"dropping-particle":"","family":"Sun","given":"Jinghui","non-dropping-particle":"","parse-names":false,"suffix":""}],"container-title":"Renewable and Sustainable Energy Reviews","id":"ITEM-1","issued":{"date-parts":[["2016"]]},"page":"94-110","publisher":"Elsevier","title":"The power industry reform in China 2015: Policies, evaluations and solutions","type":"article-journal","volume":"57"},"uris":["http://www.mendeley.com/documents/?uuid=2f84e61b-f556-49e1-8015-6eba3e280a5d"]}],"mendeley":{"formattedCitation":"[17]","plainTextFormattedCitation":"[17]","previouslyFormattedCitation":"[17]"},"properties":{"noteIndex":0},"schema":"https://github.com/citation-style-language/schema/raw/master/csl-citation.json"}</w:instrText>
      </w:r>
      <w:r w:rsidRPr="00D523C8">
        <w:rPr>
          <w:rFonts w:ascii="Times New Roman" w:hAnsi="Times New Roman"/>
          <w:color w:val="000000" w:themeColor="text1"/>
          <w:lang w:val="en-US"/>
        </w:rPr>
        <w:fldChar w:fldCharType="separate"/>
      </w:r>
      <w:r w:rsidR="004A4F46" w:rsidRPr="00D523C8">
        <w:rPr>
          <w:rFonts w:ascii="Times New Roman" w:hAnsi="Times New Roman"/>
          <w:noProof/>
          <w:color w:val="000000" w:themeColor="text1"/>
          <w:lang w:val="en-US"/>
        </w:rPr>
        <w:t>[17]</w:t>
      </w:r>
      <w:r w:rsidRPr="00D523C8">
        <w:rPr>
          <w:rFonts w:ascii="Times New Roman" w:hAnsi="Times New Roman"/>
          <w:color w:val="000000" w:themeColor="text1"/>
          <w:lang w:val="en-US"/>
        </w:rPr>
        <w:fldChar w:fldCharType="end"/>
      </w:r>
      <w:r w:rsidRPr="00D523C8">
        <w:rPr>
          <w:rFonts w:ascii="Times New Roman" w:hAnsi="Times New Roman"/>
          <w:color w:val="000000" w:themeColor="text1"/>
          <w:lang w:val="en-US"/>
        </w:rPr>
        <w:t>. The reform</w:t>
      </w:r>
      <w:r w:rsidR="006864B5">
        <w:rPr>
          <w:rFonts w:ascii="Times New Roman" w:hAnsi="Times New Roman"/>
          <w:color w:val="000000" w:themeColor="text1"/>
          <w:lang w:val="en-US"/>
        </w:rPr>
        <w:t>s</w:t>
      </w:r>
      <w:r w:rsidRPr="00D523C8">
        <w:rPr>
          <w:rFonts w:ascii="Times New Roman" w:hAnsi="Times New Roman"/>
          <w:color w:val="000000" w:themeColor="text1"/>
          <w:lang w:val="en-US"/>
        </w:rPr>
        <w:t xml:space="preserve"> </w:t>
      </w:r>
      <w:r w:rsidR="006864B5">
        <w:rPr>
          <w:rFonts w:ascii="Times New Roman" w:hAnsi="Times New Roman"/>
          <w:color w:val="000000" w:themeColor="text1"/>
          <w:lang w:val="en-US"/>
        </w:rPr>
        <w:t xml:space="preserve">were </w:t>
      </w:r>
      <w:r w:rsidR="00DE7805">
        <w:rPr>
          <w:rFonts w:ascii="Times New Roman" w:hAnsi="Times New Roman"/>
          <w:color w:val="000000" w:themeColor="text1"/>
          <w:lang w:val="en-US"/>
        </w:rPr>
        <w:t xml:space="preserve">intended </w:t>
      </w:r>
      <w:r w:rsidRPr="00D523C8">
        <w:rPr>
          <w:rFonts w:ascii="Times New Roman" w:hAnsi="Times New Roman"/>
          <w:color w:val="000000" w:themeColor="text1"/>
          <w:lang w:val="en-US"/>
        </w:rPr>
        <w:t xml:space="preserve">further </w:t>
      </w:r>
      <w:r w:rsidR="00DE7805">
        <w:rPr>
          <w:rFonts w:ascii="Times New Roman" w:hAnsi="Times New Roman"/>
          <w:color w:val="000000" w:themeColor="text1"/>
          <w:lang w:val="en-US"/>
        </w:rPr>
        <w:t xml:space="preserve">to </w:t>
      </w:r>
      <w:r w:rsidRPr="00D523C8">
        <w:rPr>
          <w:rFonts w:ascii="Times New Roman" w:hAnsi="Times New Roman"/>
          <w:color w:val="000000" w:themeColor="text1"/>
          <w:lang w:val="en-US"/>
        </w:rPr>
        <w:t xml:space="preserve">liberalize the </w:t>
      </w:r>
      <w:r w:rsidRPr="00D523C8">
        <w:rPr>
          <w:rFonts w:ascii="Times New Roman" w:hAnsi="Times New Roman"/>
          <w:color w:val="000000" w:themeColor="text1"/>
          <w:lang w:val="en-US"/>
        </w:rPr>
        <w:lastRenderedPageBreak/>
        <w:t xml:space="preserve">electricity market and </w:t>
      </w:r>
      <w:r w:rsidR="00DE7805">
        <w:rPr>
          <w:rFonts w:ascii="Times New Roman" w:hAnsi="Times New Roman"/>
          <w:color w:val="000000" w:themeColor="text1"/>
          <w:lang w:val="en-US"/>
        </w:rPr>
        <w:t xml:space="preserve">to </w:t>
      </w:r>
      <w:r w:rsidRPr="00D523C8">
        <w:rPr>
          <w:rFonts w:ascii="Times New Roman" w:hAnsi="Times New Roman"/>
          <w:color w:val="000000" w:themeColor="text1"/>
          <w:lang w:val="en-US"/>
        </w:rPr>
        <w:t>promote distributed electricity projects</w:t>
      </w:r>
      <w:r w:rsidR="00DE7805">
        <w:rPr>
          <w:rFonts w:ascii="Times New Roman" w:hAnsi="Times New Roman"/>
          <w:color w:val="000000" w:themeColor="text1"/>
          <w:lang w:val="en-US"/>
        </w:rPr>
        <w:t xml:space="preserve">, as well as </w:t>
      </w:r>
      <w:r w:rsidRPr="00D523C8">
        <w:rPr>
          <w:rFonts w:ascii="Times New Roman" w:hAnsi="Times New Roman"/>
          <w:color w:val="000000" w:themeColor="text1"/>
          <w:lang w:val="en-US"/>
        </w:rPr>
        <w:t xml:space="preserve">the efficient utilization of renewable electricity. </w:t>
      </w:r>
    </w:p>
    <w:p w14:paraId="1AE58684" w14:textId="77777777" w:rsidR="00A33133" w:rsidRPr="00D523C8" w:rsidRDefault="00A33133"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4.6.2 The policy mix</w:t>
      </w:r>
    </w:p>
    <w:p w14:paraId="42588AD3" w14:textId="170B35D6" w:rsidR="002C2901" w:rsidRPr="00D523C8" w:rsidRDefault="005779C0" w:rsidP="00CF6E21">
      <w:pPr>
        <w:spacing w:after="120" w:line="360" w:lineRule="auto"/>
        <w:jc w:val="center"/>
        <w:rPr>
          <w:rFonts w:ascii="Times New Roman" w:hAnsi="Times New Roman"/>
          <w:color w:val="000000" w:themeColor="text1"/>
          <w:lang w:val="en-US"/>
        </w:rPr>
      </w:pPr>
      <w:r w:rsidRPr="00D523C8">
        <w:rPr>
          <w:rFonts w:ascii="Times New Roman" w:hAnsi="Times New Roman"/>
          <w:noProof/>
          <w:color w:val="000000" w:themeColor="text1"/>
          <w:lang w:val="en-US"/>
        </w:rPr>
        <w:drawing>
          <wp:inline distT="0" distB="0" distL="0" distR="0" wp14:anchorId="241CFD9A" wp14:editId="23CE5D74">
            <wp:extent cx="5486764" cy="616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 mix_2011-2015_6Jan2020.png"/>
                    <pic:cNvPicPr/>
                  </pic:nvPicPr>
                  <pic:blipFill rotWithShape="1">
                    <a:blip r:embed="rId11" cstate="print">
                      <a:extLst>
                        <a:ext uri="{28A0092B-C50C-407E-A947-70E740481C1C}">
                          <a14:useLocalDpi xmlns:a14="http://schemas.microsoft.com/office/drawing/2010/main" val="0"/>
                        </a:ext>
                      </a:extLst>
                    </a:blip>
                    <a:srcRect r="13613"/>
                    <a:stretch/>
                  </pic:blipFill>
                  <pic:spPr bwMode="auto">
                    <a:xfrm>
                      <a:off x="0" y="0"/>
                      <a:ext cx="5528761" cy="6207674"/>
                    </a:xfrm>
                    <a:prstGeom prst="rect">
                      <a:avLst/>
                    </a:prstGeom>
                    <a:ln>
                      <a:noFill/>
                    </a:ln>
                    <a:extLst>
                      <a:ext uri="{53640926-AAD7-44D8-BBD7-CCE9431645EC}">
                        <a14:shadowObscured xmlns:a14="http://schemas.microsoft.com/office/drawing/2010/main"/>
                      </a:ext>
                    </a:extLst>
                  </pic:spPr>
                </pic:pic>
              </a:graphicData>
            </a:graphic>
          </wp:inline>
        </w:drawing>
      </w:r>
    </w:p>
    <w:p w14:paraId="36F6B987" w14:textId="4F28F831" w:rsidR="00415540" w:rsidRPr="00D523C8" w:rsidRDefault="00415540" w:rsidP="00B373CB">
      <w:pPr>
        <w:spacing w:line="360" w:lineRule="auto"/>
        <w:jc w:val="center"/>
        <w:rPr>
          <w:rFonts w:ascii="Times New Roman" w:hAnsi="Times New Roman"/>
          <w:color w:val="000000" w:themeColor="text1"/>
          <w:szCs w:val="22"/>
          <w:lang w:val="en-US"/>
        </w:rPr>
      </w:pPr>
      <w:r w:rsidRPr="00D523C8">
        <w:rPr>
          <w:rFonts w:ascii="Times New Roman" w:hAnsi="Times New Roman"/>
          <w:color w:val="000000" w:themeColor="text1"/>
          <w:szCs w:val="22"/>
          <w:lang w:val="en-US"/>
        </w:rPr>
        <w:t>Figure A</w:t>
      </w:r>
      <w:r w:rsidR="00B405FC" w:rsidRPr="00D523C8">
        <w:rPr>
          <w:rFonts w:ascii="Times New Roman" w:hAnsi="Times New Roman"/>
          <w:color w:val="000000" w:themeColor="text1"/>
          <w:szCs w:val="22"/>
          <w:lang w:val="en-US"/>
        </w:rPr>
        <w:t>5</w:t>
      </w:r>
      <w:r w:rsidRPr="00D523C8">
        <w:rPr>
          <w:rFonts w:ascii="Times New Roman" w:hAnsi="Times New Roman"/>
          <w:color w:val="000000" w:themeColor="text1"/>
          <w:szCs w:val="22"/>
          <w:lang w:val="en-US"/>
        </w:rPr>
        <w:t>. Policy mix</w:t>
      </w:r>
      <w:r w:rsidR="00DE7805">
        <w:rPr>
          <w:rFonts w:ascii="Times New Roman" w:hAnsi="Times New Roman"/>
          <w:color w:val="000000" w:themeColor="text1"/>
          <w:szCs w:val="22"/>
          <w:lang w:val="en-US"/>
        </w:rPr>
        <w:t xml:space="preserve">, </w:t>
      </w:r>
      <w:r w:rsidRPr="00D523C8">
        <w:rPr>
          <w:rFonts w:ascii="Times New Roman" w:hAnsi="Times New Roman"/>
          <w:color w:val="000000" w:themeColor="text1"/>
          <w:szCs w:val="22"/>
          <w:lang w:val="en-US"/>
        </w:rPr>
        <w:t>20</w:t>
      </w:r>
      <w:r w:rsidR="00C30612" w:rsidRPr="00D523C8">
        <w:rPr>
          <w:rFonts w:ascii="Times New Roman" w:hAnsi="Times New Roman"/>
          <w:color w:val="000000" w:themeColor="text1"/>
          <w:szCs w:val="22"/>
          <w:lang w:val="en-US"/>
        </w:rPr>
        <w:t>11</w:t>
      </w:r>
      <w:r w:rsidR="00DE7805">
        <w:rPr>
          <w:rFonts w:ascii="Times New Roman" w:hAnsi="Times New Roman"/>
          <w:color w:val="000000" w:themeColor="text1"/>
          <w:szCs w:val="22"/>
          <w:lang w:val="en-US"/>
        </w:rPr>
        <w:t>–</w:t>
      </w:r>
      <w:r w:rsidRPr="00D523C8">
        <w:rPr>
          <w:rFonts w:ascii="Times New Roman" w:hAnsi="Times New Roman"/>
          <w:color w:val="000000" w:themeColor="text1"/>
          <w:szCs w:val="22"/>
          <w:lang w:val="en-US"/>
        </w:rPr>
        <w:t>201</w:t>
      </w:r>
      <w:r w:rsidR="00C30612" w:rsidRPr="00D523C8">
        <w:rPr>
          <w:rFonts w:ascii="Times New Roman" w:hAnsi="Times New Roman"/>
          <w:color w:val="000000" w:themeColor="text1"/>
          <w:szCs w:val="22"/>
          <w:lang w:val="en-US"/>
        </w:rPr>
        <w:t>5</w:t>
      </w:r>
    </w:p>
    <w:p w14:paraId="388A2BEC" w14:textId="5CF2BC1B" w:rsidR="00E66E28" w:rsidRPr="00D523C8" w:rsidRDefault="00E66E28" w:rsidP="00E66E28">
      <w:pPr>
        <w:spacing w:after="120"/>
        <w:ind w:left="709" w:firstLine="11"/>
        <w:rPr>
          <w:rFonts w:ascii="Times New Roman" w:hAnsi="Times New Roman"/>
          <w:sz w:val="18"/>
          <w:szCs w:val="20"/>
          <w:lang w:val="en-US"/>
        </w:rPr>
      </w:pPr>
      <w:r w:rsidRPr="00D523C8">
        <w:rPr>
          <w:rFonts w:ascii="Times New Roman" w:hAnsi="Times New Roman"/>
          <w:sz w:val="18"/>
          <w:szCs w:val="20"/>
          <w:lang w:val="en-US"/>
        </w:rPr>
        <w:t xml:space="preserve">Note: </w:t>
      </w:r>
      <w:r w:rsidR="00DE7805">
        <w:rPr>
          <w:rFonts w:ascii="Times New Roman" w:hAnsi="Times New Roman"/>
          <w:sz w:val="18"/>
          <w:szCs w:val="20"/>
          <w:lang w:val="en-US"/>
        </w:rPr>
        <w:t>T</w:t>
      </w:r>
      <w:r w:rsidRPr="00D523C8">
        <w:rPr>
          <w:rFonts w:ascii="Times New Roman" w:hAnsi="Times New Roman"/>
          <w:sz w:val="18"/>
          <w:szCs w:val="20"/>
          <w:lang w:val="en-US"/>
        </w:rPr>
        <w:t>he letters in the square brackets show the policy instrument types according to the NATO model. “N”</w:t>
      </w:r>
      <w:r w:rsidR="00DE7805">
        <w:rPr>
          <w:rFonts w:ascii="Times New Roman" w:hAnsi="Times New Roman"/>
          <w:sz w:val="18"/>
          <w:szCs w:val="20"/>
          <w:lang w:val="en-US"/>
        </w:rPr>
        <w:t xml:space="preserve"> – </w:t>
      </w:r>
      <w:proofErr w:type="spellStart"/>
      <w:r w:rsidRPr="00D523C8">
        <w:rPr>
          <w:rFonts w:ascii="Times New Roman" w:hAnsi="Times New Roman"/>
          <w:sz w:val="18"/>
          <w:szCs w:val="20"/>
          <w:lang w:val="en-US"/>
        </w:rPr>
        <w:t>nodality</w:t>
      </w:r>
      <w:proofErr w:type="spellEnd"/>
      <w:r w:rsidRPr="00D523C8">
        <w:rPr>
          <w:rFonts w:ascii="Times New Roman" w:hAnsi="Times New Roman"/>
          <w:sz w:val="18"/>
          <w:szCs w:val="20"/>
          <w:lang w:val="en-US"/>
        </w:rPr>
        <w:t>; “A”</w:t>
      </w:r>
      <w:r w:rsidR="00DE7805">
        <w:rPr>
          <w:rFonts w:ascii="Times New Roman" w:hAnsi="Times New Roman"/>
          <w:sz w:val="18"/>
          <w:szCs w:val="20"/>
          <w:lang w:val="en-US"/>
        </w:rPr>
        <w:t xml:space="preserve"> –</w:t>
      </w:r>
      <w:r w:rsidRPr="00D523C8">
        <w:rPr>
          <w:rFonts w:ascii="Times New Roman" w:hAnsi="Times New Roman"/>
          <w:sz w:val="18"/>
          <w:szCs w:val="20"/>
          <w:lang w:val="en-US"/>
        </w:rPr>
        <w:t xml:space="preserve"> authority; “T”</w:t>
      </w:r>
      <w:r w:rsidR="00DE7805">
        <w:rPr>
          <w:rFonts w:ascii="Times New Roman" w:hAnsi="Times New Roman"/>
          <w:sz w:val="18"/>
          <w:szCs w:val="20"/>
          <w:lang w:val="en-US"/>
        </w:rPr>
        <w:t xml:space="preserve"> –</w:t>
      </w:r>
      <w:r w:rsidRPr="00D523C8">
        <w:rPr>
          <w:rFonts w:ascii="Times New Roman" w:hAnsi="Times New Roman"/>
          <w:sz w:val="18"/>
          <w:szCs w:val="20"/>
          <w:lang w:val="en-US"/>
        </w:rPr>
        <w:t xml:space="preserve"> treasure; </w:t>
      </w:r>
      <w:r w:rsidR="00DE7805">
        <w:rPr>
          <w:rFonts w:ascii="Times New Roman" w:hAnsi="Times New Roman"/>
          <w:sz w:val="18"/>
          <w:szCs w:val="20"/>
          <w:lang w:val="en-US"/>
        </w:rPr>
        <w:t xml:space="preserve">and </w:t>
      </w:r>
      <w:r w:rsidRPr="00D523C8">
        <w:rPr>
          <w:rFonts w:ascii="Times New Roman" w:hAnsi="Times New Roman"/>
          <w:sz w:val="18"/>
          <w:szCs w:val="20"/>
          <w:lang w:val="en-US"/>
        </w:rPr>
        <w:t>“O”</w:t>
      </w:r>
      <w:r w:rsidR="00DE7805">
        <w:rPr>
          <w:rFonts w:ascii="Times New Roman" w:hAnsi="Times New Roman"/>
          <w:sz w:val="18"/>
          <w:szCs w:val="20"/>
          <w:lang w:val="en-US"/>
        </w:rPr>
        <w:t xml:space="preserve"> –</w:t>
      </w:r>
      <w:r w:rsidRPr="00D523C8">
        <w:rPr>
          <w:rFonts w:ascii="Times New Roman" w:hAnsi="Times New Roman"/>
          <w:sz w:val="18"/>
          <w:szCs w:val="20"/>
          <w:lang w:val="en-US"/>
        </w:rPr>
        <w:t xml:space="preserve"> organization. * denotes that the program involves multiple types of policy instrument.</w:t>
      </w:r>
    </w:p>
    <w:p w14:paraId="3D567318" w14:textId="77777777" w:rsidR="00E66E28" w:rsidRPr="00D523C8" w:rsidRDefault="00E66E28" w:rsidP="00B373CB">
      <w:pPr>
        <w:spacing w:line="360" w:lineRule="auto"/>
        <w:jc w:val="center"/>
        <w:rPr>
          <w:rFonts w:ascii="Times New Roman" w:hAnsi="Times New Roman"/>
          <w:color w:val="000000" w:themeColor="text1"/>
          <w:szCs w:val="22"/>
          <w:lang w:val="en-US"/>
        </w:rPr>
      </w:pPr>
    </w:p>
    <w:p w14:paraId="7266436D" w14:textId="45D190D8" w:rsidR="00A33133" w:rsidRPr="00D523C8" w:rsidRDefault="006864B5" w:rsidP="00A33133">
      <w:pPr>
        <w:spacing w:after="120" w:line="360" w:lineRule="auto"/>
        <w:jc w:val="both"/>
        <w:rPr>
          <w:rFonts w:ascii="Times New Roman" w:hAnsi="Times New Roman"/>
          <w:color w:val="000000" w:themeColor="text1"/>
          <w:lang w:val="en-US"/>
        </w:rPr>
      </w:pPr>
      <w:r>
        <w:rPr>
          <w:rFonts w:ascii="Times New Roman" w:hAnsi="Times New Roman"/>
          <w:color w:val="000000" w:themeColor="text1"/>
          <w:lang w:val="en-US"/>
        </w:rPr>
        <w:t>In 2013, t</w:t>
      </w:r>
      <w:r w:rsidR="00A33133" w:rsidRPr="00D523C8">
        <w:rPr>
          <w:rFonts w:ascii="Times New Roman" w:hAnsi="Times New Roman"/>
          <w:color w:val="000000" w:themeColor="text1"/>
          <w:lang w:val="en-US"/>
        </w:rPr>
        <w:t>o reduce air pollutants from conventional energy technologies, the State Council suggested implementing the electricity price premium (</w:t>
      </w:r>
      <w:proofErr w:type="spellStart"/>
      <w:r w:rsidR="00A33133" w:rsidRPr="00D523C8">
        <w:rPr>
          <w:rFonts w:ascii="Times New Roman" w:hAnsi="Times New Roman"/>
          <w:i/>
          <w:color w:val="000000" w:themeColor="text1"/>
          <w:lang w:val="en-US"/>
        </w:rPr>
        <w:t>huan</w:t>
      </w:r>
      <w:proofErr w:type="spellEnd"/>
      <w:r w:rsidR="00A33133" w:rsidRPr="00D523C8">
        <w:rPr>
          <w:rFonts w:ascii="Times New Roman" w:hAnsi="Times New Roman"/>
          <w:i/>
          <w:color w:val="000000" w:themeColor="text1"/>
          <w:lang w:val="en-US"/>
        </w:rPr>
        <w:t xml:space="preserve"> bao </w:t>
      </w:r>
      <w:proofErr w:type="spellStart"/>
      <w:r w:rsidR="00A33133" w:rsidRPr="00D523C8">
        <w:rPr>
          <w:rFonts w:ascii="Times New Roman" w:hAnsi="Times New Roman"/>
          <w:i/>
          <w:color w:val="000000" w:themeColor="text1"/>
          <w:lang w:val="en-US"/>
        </w:rPr>
        <w:t>dian</w:t>
      </w:r>
      <w:proofErr w:type="spellEnd"/>
      <w:r w:rsidR="00A33133" w:rsidRPr="00D523C8">
        <w:rPr>
          <w:rFonts w:ascii="Times New Roman" w:hAnsi="Times New Roman"/>
          <w:i/>
          <w:color w:val="000000" w:themeColor="text1"/>
          <w:lang w:val="en-US"/>
        </w:rPr>
        <w:t xml:space="preserve"> </w:t>
      </w:r>
      <w:proofErr w:type="spellStart"/>
      <w:r w:rsidR="00A33133" w:rsidRPr="00D523C8">
        <w:rPr>
          <w:rFonts w:ascii="Times New Roman" w:hAnsi="Times New Roman"/>
          <w:i/>
          <w:color w:val="000000" w:themeColor="text1"/>
          <w:lang w:val="en-US"/>
        </w:rPr>
        <w:t>jia</w:t>
      </w:r>
      <w:proofErr w:type="spellEnd"/>
      <w:r w:rsidR="00A33133" w:rsidRPr="00D523C8">
        <w:rPr>
          <w:rFonts w:ascii="Times New Roman" w:hAnsi="Times New Roman"/>
          <w:color w:val="000000" w:themeColor="text1"/>
          <w:lang w:val="en-US"/>
        </w:rPr>
        <w:t xml:space="preserve">) for coal-fired power </w:t>
      </w:r>
      <w:r w:rsidR="00A33133" w:rsidRPr="00D523C8">
        <w:rPr>
          <w:rFonts w:ascii="Times New Roman" w:hAnsi="Times New Roman"/>
          <w:color w:val="000000" w:themeColor="text1"/>
          <w:lang w:val="en-US"/>
        </w:rPr>
        <w:lastRenderedPageBreak/>
        <w:t xml:space="preserve">plants with denitrification, desulphurization and dust removal equipment (referred to as “environmental equipment”). Subsequently, the NDRC specified that the premium would be 0.002 yuan/kWh for the use of dust removal equipment and 0.01 yuan/kWh for the use of denitrification equipment. In January 2015, the amended Environmental Protection Law came into effect. The amendments emphasized the use of </w:t>
      </w:r>
      <w:proofErr w:type="spellStart"/>
      <w:r w:rsidR="00A33133" w:rsidRPr="00D523C8">
        <w:rPr>
          <w:rFonts w:ascii="Times New Roman" w:hAnsi="Times New Roman"/>
          <w:color w:val="000000" w:themeColor="text1"/>
          <w:lang w:val="en-US"/>
        </w:rPr>
        <w:t>nodality</w:t>
      </w:r>
      <w:proofErr w:type="spellEnd"/>
      <w:r w:rsidR="00A33133" w:rsidRPr="00D523C8">
        <w:rPr>
          <w:rFonts w:ascii="Times New Roman" w:hAnsi="Times New Roman"/>
          <w:color w:val="000000" w:themeColor="text1"/>
          <w:lang w:val="en-US"/>
        </w:rPr>
        <w:t xml:space="preserve"> instruments, including educating students with a knowledge of environmental protection at schools, educating the public through the media and disclosing the sources of environmental emissions.</w:t>
      </w:r>
    </w:p>
    <w:p w14:paraId="5835A5C1" w14:textId="37596063" w:rsidR="00A33133" w:rsidRPr="00D523C8" w:rsidRDefault="00A33133" w:rsidP="00A33133">
      <w:pPr>
        <w:spacing w:after="120" w:line="360" w:lineRule="auto"/>
        <w:ind w:firstLine="720"/>
        <w:jc w:val="both"/>
        <w:rPr>
          <w:rFonts w:ascii="Times New Roman" w:hAnsi="Times New Roman"/>
          <w:color w:val="000000" w:themeColor="text1"/>
          <w:lang w:val="en-US"/>
        </w:rPr>
      </w:pPr>
      <w:r w:rsidRPr="00D523C8">
        <w:rPr>
          <w:rFonts w:ascii="Times New Roman" w:hAnsi="Times New Roman"/>
          <w:color w:val="000000" w:themeColor="text1"/>
          <w:lang w:val="en-US"/>
        </w:rPr>
        <w:t>The renewable energy support strategy had a more complex instrument mix. In terms of hydroelectric projects, the government continued to emphasize the unintended environmental impacts. In October 2011, the NDRC and MEP decided on applying the</w:t>
      </w:r>
      <w:r w:rsidRPr="00D523C8">
        <w:rPr>
          <w:rFonts w:ascii="Times New Roman" w:eastAsia="Times New Roman" w:hAnsi="Times New Roman"/>
          <w:color w:val="000000" w:themeColor="text1"/>
          <w:lang w:val="en-US"/>
        </w:rPr>
        <w:t xml:space="preserve"> EIA instrument to both hydroelectric projects and the river-level hydroelectricity development plans. </w:t>
      </w:r>
      <w:r w:rsidRPr="00D523C8">
        <w:rPr>
          <w:rFonts w:ascii="Times New Roman" w:hAnsi="Times New Roman"/>
          <w:color w:val="000000" w:themeColor="text1"/>
          <w:lang w:val="en-US"/>
        </w:rPr>
        <w:t>Regarding solar PV technologies, in August 2013, the NDRC differentiated the policy instruments for distributed and centralized solar PV systems. For centralized solar PV systems, t</w:t>
      </w:r>
      <w:r w:rsidRPr="00D523C8">
        <w:rPr>
          <w:rFonts w:ascii="Times New Roman" w:eastAsia="Times New Roman" w:hAnsi="Times New Roman"/>
          <w:color w:val="000000" w:themeColor="text1"/>
          <w:lang w:val="en-US"/>
        </w:rPr>
        <w:t>he tariff rates of FIT in categories I, II and III solar resource zones were 0.90, 0.95 and 1.00 yuan/kwh with the highest tariff rate for regions with the richest solar resources. The contract duration was up to 20 years and the tariffs subject to re-evaluation. For distributed solar PV projects, the owners could sell the whole electricity to grid companies at the same price as the centralized solar PV systems. Alternatively, the owners could self-use some amount of the electricity and sell the rest to the grid companies at the same price as the coal-fired electricity. As such, in the second scenario, the owners would not only enjoy a subsidy of 0.42 yuan/kwh for every unit of the generated electricity (self-used or not)</w:t>
      </w:r>
      <w:r w:rsidR="006864B5">
        <w:rPr>
          <w:rFonts w:ascii="Times New Roman" w:eastAsia="Times New Roman" w:hAnsi="Times New Roman"/>
          <w:color w:val="000000" w:themeColor="text1"/>
          <w:lang w:val="en-US"/>
        </w:rPr>
        <w:t xml:space="preserve">; they would </w:t>
      </w:r>
      <w:r w:rsidRPr="00D523C8">
        <w:rPr>
          <w:rFonts w:ascii="Times New Roman" w:eastAsia="Times New Roman" w:hAnsi="Times New Roman"/>
          <w:color w:val="000000" w:themeColor="text1"/>
          <w:lang w:val="en-US"/>
        </w:rPr>
        <w:t xml:space="preserve">also have the revenue from the sales of the remaining electricity. </w:t>
      </w:r>
      <w:r w:rsidRPr="00D523C8">
        <w:rPr>
          <w:rFonts w:ascii="Times New Roman" w:hAnsi="Times New Roman"/>
          <w:color w:val="000000" w:themeColor="text1"/>
          <w:lang w:val="en-US"/>
        </w:rPr>
        <w:t xml:space="preserve">In October 2014, the State Council and the NEA launched a solar PV-based poverty alleviation program, layering the poverty alleviation on the goal of distributed solar power deployment. The program led to the installation of solar PV panels by low-income households, which would earn additional income due to the program. </w:t>
      </w:r>
    </w:p>
    <w:p w14:paraId="1D24D261" w14:textId="33EED74E" w:rsidR="00A33133" w:rsidRPr="00D523C8" w:rsidRDefault="00A33133" w:rsidP="00A33133">
      <w:pPr>
        <w:spacing w:after="120" w:line="360" w:lineRule="auto"/>
        <w:ind w:firstLine="720"/>
        <w:jc w:val="both"/>
        <w:rPr>
          <w:rFonts w:ascii="Times New Roman" w:hAnsi="Times New Roman"/>
          <w:color w:val="000000" w:themeColor="text1"/>
          <w:lang w:val="en-US"/>
        </w:rPr>
      </w:pPr>
      <w:r w:rsidRPr="00D523C8">
        <w:rPr>
          <w:rFonts w:ascii="Times New Roman" w:hAnsi="Times New Roman"/>
          <w:color w:val="000000" w:themeColor="text1"/>
          <w:lang w:val="en-US"/>
        </w:rPr>
        <w:t xml:space="preserve">With respect to wind energy technologies, wind electricity curtailment became an issue </w:t>
      </w:r>
      <w:r w:rsidR="006864B5">
        <w:rPr>
          <w:rFonts w:ascii="Times New Roman" w:hAnsi="Times New Roman"/>
          <w:color w:val="000000" w:themeColor="text1"/>
          <w:lang w:val="en-US"/>
        </w:rPr>
        <w:t>(</w:t>
      </w:r>
      <w:r w:rsidRPr="00D523C8">
        <w:rPr>
          <w:rFonts w:ascii="Times New Roman" w:hAnsi="Times New Roman"/>
          <w:color w:val="000000" w:themeColor="text1"/>
          <w:lang w:val="en-US"/>
        </w:rPr>
        <w:t>especially in Jilin, Inner Mongolia, Gansu, Ningxia, Xinjiang and Heilongjiang</w:t>
      </w:r>
      <w:r w:rsidR="006864B5">
        <w:rPr>
          <w:rFonts w:ascii="Times New Roman" w:hAnsi="Times New Roman"/>
          <w:color w:val="000000" w:themeColor="text1"/>
          <w:lang w:val="en-US"/>
        </w:rPr>
        <w:t>)</w:t>
      </w:r>
      <w:r w:rsidRPr="00D523C8">
        <w:rPr>
          <w:rFonts w:ascii="Times New Roman" w:hAnsi="Times New Roman"/>
          <w:color w:val="000000" w:themeColor="text1"/>
          <w:lang w:val="en-US"/>
        </w:rPr>
        <w:t xml:space="preserve"> due to a lack of local demand, poor grid access and inadequate transmission capacity. In June 2015, the NEA launched a demonstration program on using wind electricity for urban heat supply, aiming to increase the local demand for wind electricity. In September 2015, the NEA decided to establish the information management system </w:t>
      </w:r>
      <w:r w:rsidR="00D90522">
        <w:rPr>
          <w:rFonts w:ascii="Times New Roman" w:hAnsi="Times New Roman"/>
          <w:color w:val="000000" w:themeColor="text1"/>
          <w:lang w:val="en-US"/>
        </w:rPr>
        <w:t xml:space="preserve">(IMS) </w:t>
      </w:r>
      <w:r w:rsidRPr="00D523C8">
        <w:rPr>
          <w:rFonts w:ascii="Times New Roman" w:hAnsi="Times New Roman"/>
          <w:color w:val="000000" w:themeColor="text1"/>
          <w:lang w:val="en-US"/>
        </w:rPr>
        <w:t xml:space="preserve">for renewable energies to balance supply and demand. </w:t>
      </w:r>
    </w:p>
    <w:p w14:paraId="28A790FB" w14:textId="4B6941B8" w:rsidR="00A33133" w:rsidRPr="00D523C8" w:rsidRDefault="00A33133" w:rsidP="00A33133">
      <w:pPr>
        <w:spacing w:after="120" w:line="360" w:lineRule="auto"/>
        <w:ind w:firstLine="720"/>
        <w:jc w:val="both"/>
        <w:rPr>
          <w:rFonts w:ascii="Times New Roman" w:hAnsi="Times New Roman"/>
          <w:color w:val="000000" w:themeColor="text1"/>
          <w:lang w:val="en-US"/>
        </w:rPr>
      </w:pPr>
      <w:r w:rsidRPr="00D523C8">
        <w:rPr>
          <w:rFonts w:ascii="Times New Roman" w:eastAsia="SimSun" w:hAnsi="Times New Roman"/>
          <w:color w:val="000000" w:themeColor="text1"/>
          <w:lang w:val="en-US"/>
        </w:rPr>
        <w:lastRenderedPageBreak/>
        <w:t>To address the objective of reducing CO</w:t>
      </w:r>
      <w:r w:rsidRPr="00D523C8">
        <w:rPr>
          <w:rFonts w:ascii="Times New Roman" w:eastAsia="SimSun" w:hAnsi="Times New Roman"/>
          <w:color w:val="000000" w:themeColor="text1"/>
          <w:vertAlign w:val="subscript"/>
          <w:lang w:val="en-US"/>
        </w:rPr>
        <w:t>2</w:t>
      </w:r>
      <w:r w:rsidRPr="00D523C8">
        <w:rPr>
          <w:rFonts w:ascii="Times New Roman" w:eastAsia="SimSun" w:hAnsi="Times New Roman"/>
          <w:color w:val="000000" w:themeColor="text1"/>
          <w:lang w:val="en-US"/>
        </w:rPr>
        <w:t xml:space="preserve"> emission intensity</w:t>
      </w:r>
      <w:r w:rsidR="006864B5" w:rsidRPr="006864B5">
        <w:rPr>
          <w:rFonts w:ascii="Times New Roman" w:eastAsia="SimSun" w:hAnsi="Times New Roman"/>
          <w:color w:val="000000" w:themeColor="text1"/>
          <w:lang w:val="en-US"/>
        </w:rPr>
        <w:t xml:space="preserve"> </w:t>
      </w:r>
      <w:r w:rsidR="006864B5" w:rsidRPr="00D523C8">
        <w:rPr>
          <w:rFonts w:ascii="Times New Roman" w:eastAsia="SimSun" w:hAnsi="Times New Roman"/>
          <w:color w:val="000000" w:themeColor="text1"/>
          <w:lang w:val="en-US"/>
        </w:rPr>
        <w:t>directly</w:t>
      </w:r>
      <w:r w:rsidRPr="00D523C8">
        <w:rPr>
          <w:rFonts w:ascii="Times New Roman" w:eastAsia="SimSun" w:hAnsi="Times New Roman"/>
          <w:color w:val="000000" w:themeColor="text1"/>
          <w:lang w:val="en-US"/>
        </w:rPr>
        <w:t>, an important policy change was</w:t>
      </w:r>
      <w:r w:rsidR="006864B5">
        <w:rPr>
          <w:rFonts w:ascii="Times New Roman" w:eastAsia="SimSun" w:hAnsi="Times New Roman"/>
          <w:color w:val="000000" w:themeColor="text1"/>
          <w:lang w:val="en-US"/>
        </w:rPr>
        <w:t>, first,</w:t>
      </w:r>
      <w:r w:rsidRPr="00D523C8">
        <w:rPr>
          <w:rFonts w:ascii="Times New Roman" w:eastAsia="SimSun" w:hAnsi="Times New Roman"/>
          <w:color w:val="000000" w:themeColor="text1"/>
          <w:lang w:val="en-US"/>
        </w:rPr>
        <w:t xml:space="preserve"> the implementation of </w:t>
      </w:r>
      <w:r w:rsidR="006864B5">
        <w:rPr>
          <w:rFonts w:ascii="Times New Roman" w:eastAsia="SimSun" w:hAnsi="Times New Roman"/>
          <w:color w:val="000000" w:themeColor="text1"/>
          <w:lang w:val="en-US"/>
        </w:rPr>
        <w:t xml:space="preserve">the </w:t>
      </w:r>
      <w:r w:rsidRPr="00D523C8">
        <w:rPr>
          <w:rFonts w:ascii="Times New Roman" w:eastAsia="SimSun" w:hAnsi="Times New Roman"/>
          <w:color w:val="000000" w:themeColor="text1"/>
          <w:lang w:val="en-US"/>
        </w:rPr>
        <w:t>CO</w:t>
      </w:r>
      <w:r w:rsidRPr="00D523C8">
        <w:rPr>
          <w:rFonts w:ascii="Times New Roman" w:eastAsia="SimSun" w:hAnsi="Times New Roman"/>
          <w:color w:val="000000" w:themeColor="text1"/>
          <w:vertAlign w:val="subscript"/>
          <w:lang w:val="en-US"/>
        </w:rPr>
        <w:t>2</w:t>
      </w:r>
      <w:r w:rsidRPr="00D523C8">
        <w:rPr>
          <w:rFonts w:ascii="Times New Roman" w:eastAsia="SimSun" w:hAnsi="Times New Roman"/>
          <w:color w:val="000000" w:themeColor="text1"/>
          <w:lang w:val="en-US"/>
        </w:rPr>
        <w:t xml:space="preserve"> ETS pilots from 2013. Second, the Top-10</w:t>
      </w:r>
      <w:r w:rsidR="006864B5">
        <w:rPr>
          <w:rFonts w:ascii="Times New Roman" w:eastAsia="SimSun" w:hAnsi="Times New Roman"/>
          <w:color w:val="000000" w:themeColor="text1"/>
          <w:lang w:val="en-US"/>
        </w:rPr>
        <w:t>,</w:t>
      </w:r>
      <w:r w:rsidRPr="00D523C8">
        <w:rPr>
          <w:rFonts w:ascii="Times New Roman" w:eastAsia="SimSun" w:hAnsi="Times New Roman"/>
          <w:color w:val="000000" w:themeColor="text1"/>
          <w:lang w:val="en-US"/>
        </w:rPr>
        <w:t>000 Enterprises Energy Saving and Low-Carbon Program in 2011–2015 contributed to achieving the objectives of energy savings and CO</w:t>
      </w:r>
      <w:r w:rsidRPr="00D523C8">
        <w:rPr>
          <w:rFonts w:ascii="Times New Roman" w:eastAsia="SimSun" w:hAnsi="Times New Roman"/>
          <w:color w:val="000000" w:themeColor="text1"/>
          <w:vertAlign w:val="subscript"/>
          <w:lang w:val="en-US"/>
        </w:rPr>
        <w:t>2</w:t>
      </w:r>
      <w:r w:rsidRPr="00D523C8">
        <w:rPr>
          <w:rFonts w:ascii="Times New Roman" w:eastAsia="SimSun" w:hAnsi="Times New Roman"/>
          <w:color w:val="000000" w:themeColor="text1"/>
          <w:lang w:val="en-US"/>
        </w:rPr>
        <w:t xml:space="preserve"> mitigation. </w:t>
      </w:r>
      <w:r w:rsidRPr="00D523C8">
        <w:rPr>
          <w:rFonts w:ascii="Times New Roman" w:hAnsi="Times New Roman"/>
          <w:color w:val="000000" w:themeColor="text1"/>
          <w:lang w:val="en-US"/>
        </w:rPr>
        <w:t xml:space="preserve">It was a program </w:t>
      </w:r>
      <w:r w:rsidR="006864B5">
        <w:rPr>
          <w:rFonts w:ascii="Times New Roman" w:hAnsi="Times New Roman"/>
          <w:color w:val="000000" w:themeColor="text1"/>
          <w:lang w:val="en-US"/>
        </w:rPr>
        <w:t xml:space="preserve">through which </w:t>
      </w:r>
      <w:r w:rsidRPr="00D523C8">
        <w:rPr>
          <w:rFonts w:ascii="Times New Roman" w:hAnsi="Times New Roman"/>
          <w:color w:val="000000" w:themeColor="text1"/>
          <w:lang w:val="en-US"/>
        </w:rPr>
        <w:t xml:space="preserve">enterprises </w:t>
      </w:r>
      <w:r w:rsidR="006864B5">
        <w:rPr>
          <w:rFonts w:ascii="Times New Roman" w:hAnsi="Times New Roman"/>
          <w:color w:val="000000" w:themeColor="text1"/>
          <w:lang w:val="en-US"/>
        </w:rPr>
        <w:t xml:space="preserve">reached </w:t>
      </w:r>
      <w:r w:rsidRPr="00D523C8">
        <w:rPr>
          <w:rFonts w:ascii="Times New Roman" w:hAnsi="Times New Roman"/>
          <w:color w:val="000000" w:themeColor="text1"/>
          <w:lang w:val="en-US"/>
        </w:rPr>
        <w:t xml:space="preserve">agreements on energy conservation with the government; the policy goal was to achieve a total of 250 million tons of coal-equivalent energy savings. It incorporated 16,018 enterprises, which accounted for about 60% of the total national energy consumption in 2011 </w:t>
      </w:r>
      <w:r w:rsidRPr="00D523C8">
        <w:rPr>
          <w:rFonts w:ascii="Times New Roman" w:hAnsi="Times New Roman"/>
          <w:color w:val="000000" w:themeColor="text1"/>
          <w:lang w:val="en-US"/>
        </w:rPr>
        <w:fldChar w:fldCharType="begin" w:fldLock="1"/>
      </w:r>
      <w:r w:rsidR="005C5928" w:rsidRPr="00D523C8">
        <w:rPr>
          <w:rFonts w:ascii="Times New Roman" w:hAnsi="Times New Roman"/>
          <w:color w:val="000000" w:themeColor="text1"/>
          <w:lang w:val="en-US"/>
        </w:rPr>
        <w:instrText>ADDIN CSL_CITATION {"citationItems":[{"id":"ITEM-1","itemData":{"DOI":"10.1016/j.esd.2015.05.002","ISSN":"09730826","abstract":"The Ten-Thousand Enterprises Program is China's keystone energy conservation and climate change program. The program has effectively created a class of energy-intensive enterprises that are regulated by the government for energy conservation purposes. Through an empirical study conducted in Changchun, this paper shows that the adoption of energy efficiency technologies and practices has been highly uneven in this class of enterprises because of two reasons. First, a de facto two-tier regulatory system has emerged within the framework of the Ten-Thousand Enterprises Program. Central state-owned enterprises are closely regulated by the State-Owned Assets Supervision and Administration Commission (SASAC) which is a central government apparatus, whereas local state-owned enterprises and privately owned enterprises are regulated by the local government, which has fewer resources and incentives to implement the program rigorously. Second, the Ten-Thousand Enterprises Program bundles together different types of enterprises. This approach places smaller enterprises at a disadvantage and limits their ability to conserve energy.","author":[{"dropping-particle":"","family":"Lo","given":"Kevin","non-dropping-particle":"","parse-names":false,"suffix":""},{"dropping-particle":"","family":"Li","given":"He","non-dropping-particle":"","parse-names":false,"suffix":""},{"dropping-particle":"","family":"Wang","given":"Mark","non-dropping-particle":"","parse-names":false,"suffix":""}],"container-title":"Energy for Sustainable Development","id":"ITEM-1","issued":{"date-parts":[["2015"]]},"page":"105-111","title":"Energy conservation in China's energy-intensive enterprises: An empirical study of the Ten-Thousand Enterprises Program","type":"article-journal","volume":"27"},"uris":["http://www.mendeley.com/documents/?uuid=553df483-6b5d-3352-be4c-f4c64111ca94"]}],"mendeley":{"formattedCitation":"[18]","plainTextFormattedCitation":"[18]","previouslyFormattedCitation":"[18]"},"properties":{"noteIndex":0},"schema":"https://github.com/citation-style-language/schema/raw/master/csl-citation.json"}</w:instrText>
      </w:r>
      <w:r w:rsidRPr="00D523C8">
        <w:rPr>
          <w:rFonts w:ascii="Times New Roman" w:hAnsi="Times New Roman"/>
          <w:color w:val="000000" w:themeColor="text1"/>
          <w:lang w:val="en-US"/>
        </w:rPr>
        <w:fldChar w:fldCharType="separate"/>
      </w:r>
      <w:r w:rsidR="004A4F46" w:rsidRPr="00D523C8">
        <w:rPr>
          <w:rFonts w:ascii="Times New Roman" w:hAnsi="Times New Roman"/>
          <w:noProof/>
          <w:color w:val="000000" w:themeColor="text1"/>
          <w:lang w:val="en-US"/>
        </w:rPr>
        <w:t>[18]</w:t>
      </w:r>
      <w:r w:rsidRPr="00D523C8">
        <w:rPr>
          <w:rFonts w:ascii="Times New Roman" w:hAnsi="Times New Roman"/>
          <w:color w:val="000000" w:themeColor="text1"/>
          <w:lang w:val="en-US"/>
        </w:rPr>
        <w:fldChar w:fldCharType="end"/>
      </w:r>
      <w:r w:rsidRPr="00D523C8">
        <w:rPr>
          <w:rFonts w:ascii="Times New Roman" w:hAnsi="Times New Roman"/>
          <w:color w:val="000000" w:themeColor="text1"/>
          <w:lang w:val="en-US"/>
        </w:rPr>
        <w:t xml:space="preserve">. Third, the central government started to set local targets </w:t>
      </w:r>
      <w:r w:rsidR="006864B5">
        <w:rPr>
          <w:rFonts w:ascii="Times New Roman" w:hAnsi="Times New Roman"/>
          <w:color w:val="000000" w:themeColor="text1"/>
          <w:lang w:val="en-US"/>
        </w:rPr>
        <w:t>for</w:t>
      </w:r>
      <w:r w:rsidRPr="00D523C8">
        <w:rPr>
          <w:rFonts w:ascii="Times New Roman" w:hAnsi="Times New Roman"/>
          <w:color w:val="000000" w:themeColor="text1"/>
          <w:lang w:val="en-US"/>
        </w:rPr>
        <w:t xml:space="preserve"> CO</w:t>
      </w:r>
      <w:r w:rsidRPr="00D523C8">
        <w:rPr>
          <w:rFonts w:ascii="Times New Roman" w:hAnsi="Times New Roman"/>
          <w:color w:val="000000" w:themeColor="text1"/>
          <w:vertAlign w:val="subscript"/>
          <w:lang w:val="en-US"/>
        </w:rPr>
        <w:t>2</w:t>
      </w:r>
      <w:r w:rsidRPr="00D523C8">
        <w:rPr>
          <w:rFonts w:ascii="Times New Roman" w:hAnsi="Times New Roman"/>
          <w:color w:val="000000" w:themeColor="text1"/>
          <w:lang w:val="en-US"/>
        </w:rPr>
        <w:t xml:space="preserve"> emission intensity reduction and the NDRC publicized how far the local governments had gone toward reaching the</w:t>
      </w:r>
      <w:r w:rsidR="006864B5">
        <w:rPr>
          <w:rFonts w:ascii="Times New Roman" w:hAnsi="Times New Roman"/>
          <w:color w:val="000000" w:themeColor="text1"/>
          <w:lang w:val="en-US"/>
        </w:rPr>
        <w:t>ir</w:t>
      </w:r>
      <w:r w:rsidRPr="00D523C8">
        <w:rPr>
          <w:rFonts w:ascii="Times New Roman" w:hAnsi="Times New Roman"/>
          <w:color w:val="000000" w:themeColor="text1"/>
          <w:lang w:val="en-US"/>
        </w:rPr>
        <w:t xml:space="preserve"> targets. Fourth, a few </w:t>
      </w:r>
      <w:proofErr w:type="spellStart"/>
      <w:r w:rsidRPr="00D523C8">
        <w:rPr>
          <w:rFonts w:ascii="Times New Roman" w:hAnsi="Times New Roman"/>
          <w:color w:val="000000" w:themeColor="text1"/>
          <w:lang w:val="en-US"/>
        </w:rPr>
        <w:t>nodality</w:t>
      </w:r>
      <w:proofErr w:type="spellEnd"/>
      <w:r w:rsidRPr="00D523C8">
        <w:rPr>
          <w:rFonts w:ascii="Times New Roman" w:hAnsi="Times New Roman"/>
          <w:color w:val="000000" w:themeColor="text1"/>
          <w:lang w:val="en-US"/>
        </w:rPr>
        <w:t xml:space="preserve"> instruments were implemented, including the promotion catalogue of low-carbon technologies and public information campaigns during </w:t>
      </w:r>
      <w:r w:rsidR="00F84CC0">
        <w:rPr>
          <w:rFonts w:ascii="Times New Roman" w:hAnsi="Times New Roman"/>
          <w:color w:val="000000" w:themeColor="text1"/>
          <w:lang w:val="en-US"/>
        </w:rPr>
        <w:t xml:space="preserve">a </w:t>
      </w:r>
      <w:r w:rsidRPr="00D523C8">
        <w:rPr>
          <w:rFonts w:ascii="Times New Roman" w:hAnsi="Times New Roman"/>
          <w:color w:val="000000" w:themeColor="text1"/>
          <w:lang w:val="en-US"/>
        </w:rPr>
        <w:t xml:space="preserve">“National Energy Conservation Week” and </w:t>
      </w:r>
      <w:r w:rsidR="006864B5">
        <w:rPr>
          <w:rFonts w:ascii="Times New Roman" w:hAnsi="Times New Roman"/>
          <w:color w:val="000000" w:themeColor="text1"/>
          <w:lang w:val="en-US"/>
        </w:rPr>
        <w:t>a</w:t>
      </w:r>
      <w:r w:rsidR="006864B5" w:rsidRPr="00D523C8">
        <w:rPr>
          <w:rFonts w:ascii="Times New Roman" w:hAnsi="Times New Roman"/>
          <w:color w:val="000000" w:themeColor="text1"/>
          <w:lang w:val="en-US"/>
        </w:rPr>
        <w:t xml:space="preserve"> </w:t>
      </w:r>
      <w:r w:rsidRPr="00D523C8">
        <w:rPr>
          <w:rFonts w:ascii="Times New Roman" w:hAnsi="Times New Roman"/>
          <w:color w:val="000000" w:themeColor="text1"/>
          <w:lang w:val="en-US"/>
        </w:rPr>
        <w:t>“National Low-</w:t>
      </w:r>
      <w:r w:rsidR="006864B5">
        <w:rPr>
          <w:rFonts w:ascii="Times New Roman" w:hAnsi="Times New Roman"/>
          <w:color w:val="000000" w:themeColor="text1"/>
          <w:lang w:val="en-US"/>
        </w:rPr>
        <w:t>C</w:t>
      </w:r>
      <w:r w:rsidRPr="00D523C8">
        <w:rPr>
          <w:rFonts w:ascii="Times New Roman" w:hAnsi="Times New Roman"/>
          <w:color w:val="000000" w:themeColor="text1"/>
          <w:lang w:val="en-US"/>
        </w:rPr>
        <w:t>arbon Day”.</w:t>
      </w:r>
    </w:p>
    <w:p w14:paraId="3F71BA6F" w14:textId="61237FE5" w:rsidR="00A33133" w:rsidRPr="00D523C8" w:rsidRDefault="00CF2A9B" w:rsidP="00A33133">
      <w:pPr>
        <w:pStyle w:val="Heading2"/>
        <w:spacing w:before="120" w:after="1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 xml:space="preserve">4.7 Environmental policy mix </w:t>
      </w:r>
      <w:r w:rsidR="00DE7805">
        <w:rPr>
          <w:rFonts w:ascii="Times New Roman" w:hAnsi="Times New Roman" w:cs="Times New Roman"/>
          <w:color w:val="000000" w:themeColor="text1"/>
        </w:rPr>
        <w:t>between</w:t>
      </w:r>
      <w:r w:rsidR="00DE7805" w:rsidRPr="00D523C8">
        <w:rPr>
          <w:rFonts w:ascii="Times New Roman" w:hAnsi="Times New Roman" w:cs="Times New Roman"/>
          <w:color w:val="000000" w:themeColor="text1"/>
        </w:rPr>
        <w:t xml:space="preserve"> </w:t>
      </w:r>
      <w:r w:rsidR="00A33133" w:rsidRPr="00D523C8">
        <w:rPr>
          <w:rFonts w:ascii="Times New Roman" w:hAnsi="Times New Roman" w:cs="Times New Roman"/>
          <w:color w:val="000000" w:themeColor="text1"/>
        </w:rPr>
        <w:t xml:space="preserve">2016 </w:t>
      </w:r>
      <w:r w:rsidR="00DE7805">
        <w:rPr>
          <w:rFonts w:ascii="Times New Roman" w:hAnsi="Times New Roman" w:cs="Times New Roman"/>
          <w:color w:val="000000" w:themeColor="text1"/>
        </w:rPr>
        <w:t xml:space="preserve">and </w:t>
      </w:r>
      <w:r w:rsidR="00A33133" w:rsidRPr="00D523C8">
        <w:rPr>
          <w:rFonts w:ascii="Times New Roman" w:hAnsi="Times New Roman" w:cs="Times New Roman"/>
          <w:color w:val="000000" w:themeColor="text1"/>
        </w:rPr>
        <w:t>2020 (13th FYP)</w:t>
      </w:r>
    </w:p>
    <w:p w14:paraId="090A1895" w14:textId="38DA3345" w:rsidR="00A33133" w:rsidRPr="00D523C8" w:rsidRDefault="00CF2A9B"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4.7.1 The background</w:t>
      </w:r>
    </w:p>
    <w:p w14:paraId="635DC0F4" w14:textId="53B583EB" w:rsidR="00A33133" w:rsidRPr="00D523C8" w:rsidRDefault="00A33133" w:rsidP="00A33133">
      <w:pPr>
        <w:spacing w:line="360" w:lineRule="auto"/>
        <w:jc w:val="both"/>
        <w:rPr>
          <w:rFonts w:ascii="Times New Roman" w:hAnsi="Times New Roman"/>
          <w:color w:val="000000" w:themeColor="text1"/>
          <w:lang w:val="en-US"/>
        </w:rPr>
      </w:pPr>
      <w:r w:rsidRPr="00D523C8">
        <w:rPr>
          <w:rFonts w:ascii="Times New Roman" w:hAnsi="Times New Roman"/>
          <w:color w:val="000000" w:themeColor="text1"/>
          <w:lang w:val="en-US"/>
        </w:rPr>
        <w:t>In April 2018, the Ministry of Ecology and Environment (MEE) was inaugurated, replacing the MEP</w:t>
      </w:r>
      <w:r w:rsidRPr="00632159">
        <w:rPr>
          <w:rStyle w:val="FootnoteReference"/>
        </w:rPr>
        <w:footnoteReference w:id="6"/>
      </w:r>
      <w:r w:rsidR="006864B5">
        <w:rPr>
          <w:rFonts w:ascii="Times New Roman" w:hAnsi="Times New Roman"/>
          <w:color w:val="000000" w:themeColor="text1"/>
          <w:lang w:val="en-US"/>
        </w:rPr>
        <w:t>.</w:t>
      </w:r>
      <w:r w:rsidRPr="00D523C8">
        <w:rPr>
          <w:rFonts w:ascii="Times New Roman" w:hAnsi="Times New Roman"/>
          <w:color w:val="000000" w:themeColor="text1"/>
          <w:lang w:val="en-US"/>
        </w:rPr>
        <w:t xml:space="preserve"> The MEE </w:t>
      </w:r>
      <w:r w:rsidR="006864B5">
        <w:rPr>
          <w:rFonts w:ascii="Times New Roman" w:hAnsi="Times New Roman"/>
          <w:color w:val="000000" w:themeColor="text1"/>
          <w:lang w:val="en-US"/>
        </w:rPr>
        <w:t>took</w:t>
      </w:r>
      <w:r w:rsidR="006864B5" w:rsidRPr="00D523C8">
        <w:rPr>
          <w:rFonts w:ascii="Times New Roman" w:hAnsi="Times New Roman"/>
          <w:color w:val="000000" w:themeColor="text1"/>
          <w:lang w:val="en-US"/>
        </w:rPr>
        <w:t xml:space="preserve"> </w:t>
      </w:r>
      <w:r w:rsidRPr="00D523C8">
        <w:rPr>
          <w:rFonts w:ascii="Times New Roman" w:hAnsi="Times New Roman"/>
          <w:color w:val="000000" w:themeColor="text1"/>
          <w:lang w:val="en-US"/>
        </w:rPr>
        <w:t>over the responsibility of tackling climate change-related issues, which used to be the duty of the NDRC, so that the CO</w:t>
      </w:r>
      <w:r w:rsidRPr="00D523C8">
        <w:rPr>
          <w:rFonts w:ascii="Times New Roman" w:hAnsi="Times New Roman"/>
          <w:color w:val="000000" w:themeColor="text1"/>
          <w:vertAlign w:val="subscript"/>
          <w:lang w:val="en-US"/>
        </w:rPr>
        <w:t>2</w:t>
      </w:r>
      <w:r w:rsidRPr="00D523C8">
        <w:rPr>
          <w:rFonts w:ascii="Times New Roman" w:hAnsi="Times New Roman"/>
          <w:color w:val="000000" w:themeColor="text1"/>
          <w:lang w:val="en-US"/>
        </w:rPr>
        <w:t xml:space="preserve"> mitigation instruments </w:t>
      </w:r>
      <w:r w:rsidR="006864B5">
        <w:rPr>
          <w:rFonts w:ascii="Times New Roman" w:hAnsi="Times New Roman"/>
          <w:color w:val="000000" w:themeColor="text1"/>
          <w:lang w:val="en-US"/>
        </w:rPr>
        <w:t xml:space="preserve">could </w:t>
      </w:r>
      <w:r w:rsidRPr="00D523C8">
        <w:rPr>
          <w:rFonts w:ascii="Times New Roman" w:hAnsi="Times New Roman"/>
          <w:color w:val="000000" w:themeColor="text1"/>
          <w:lang w:val="en-US"/>
        </w:rPr>
        <w:t xml:space="preserve">be better coordinated with the air pollution abatement instruments. In addition, the MEE </w:t>
      </w:r>
      <w:r w:rsidR="006864B5">
        <w:rPr>
          <w:rFonts w:ascii="Times New Roman" w:hAnsi="Times New Roman"/>
          <w:color w:val="000000" w:themeColor="text1"/>
          <w:lang w:val="en-US"/>
        </w:rPr>
        <w:t xml:space="preserve">took </w:t>
      </w:r>
      <w:r w:rsidRPr="00D523C8">
        <w:rPr>
          <w:rFonts w:ascii="Times New Roman" w:hAnsi="Times New Roman"/>
          <w:color w:val="000000" w:themeColor="text1"/>
          <w:lang w:val="en-US"/>
        </w:rPr>
        <w:t xml:space="preserve">over environmental protection affairs </w:t>
      </w:r>
      <w:r w:rsidR="002521E8">
        <w:rPr>
          <w:rFonts w:ascii="Times New Roman" w:hAnsi="Times New Roman"/>
          <w:color w:val="000000" w:themeColor="text1"/>
          <w:lang w:val="en-US"/>
        </w:rPr>
        <w:t xml:space="preserve">that had been </w:t>
      </w:r>
      <w:r w:rsidRPr="00D523C8">
        <w:rPr>
          <w:rFonts w:ascii="Times New Roman" w:hAnsi="Times New Roman"/>
          <w:color w:val="000000" w:themeColor="text1"/>
          <w:lang w:val="en-US"/>
        </w:rPr>
        <w:t xml:space="preserve">scattered across other agencies and ministries </w:t>
      </w:r>
      <w:r w:rsidR="002521E8">
        <w:rPr>
          <w:rFonts w:ascii="Times New Roman" w:hAnsi="Times New Roman"/>
          <w:color w:val="000000" w:themeColor="text1"/>
          <w:lang w:val="en-US"/>
        </w:rPr>
        <w:t>(</w:t>
      </w:r>
      <w:r w:rsidRPr="00D523C8">
        <w:rPr>
          <w:rFonts w:ascii="Times New Roman" w:hAnsi="Times New Roman"/>
          <w:color w:val="000000" w:themeColor="text1"/>
          <w:lang w:val="en-US"/>
        </w:rPr>
        <w:t>including the former Ministry of Land and Resources, the MWR, the former Ministry of Agriculture and the former State Oceanic Administration</w:t>
      </w:r>
      <w:r w:rsidR="002521E8">
        <w:rPr>
          <w:rFonts w:ascii="Times New Roman" w:hAnsi="Times New Roman"/>
          <w:color w:val="000000" w:themeColor="text1"/>
          <w:lang w:val="en-US"/>
        </w:rPr>
        <w:t>)</w:t>
      </w:r>
      <w:r w:rsidRPr="00D523C8">
        <w:rPr>
          <w:rFonts w:ascii="Times New Roman" w:hAnsi="Times New Roman"/>
          <w:color w:val="000000" w:themeColor="text1"/>
          <w:lang w:val="en-US"/>
        </w:rPr>
        <w:t xml:space="preserve"> </w:t>
      </w:r>
      <w:r w:rsidR="002521E8">
        <w:rPr>
          <w:rFonts w:ascii="Times New Roman" w:hAnsi="Times New Roman"/>
          <w:color w:val="000000" w:themeColor="text1"/>
          <w:lang w:val="en-US"/>
        </w:rPr>
        <w:t xml:space="preserve">aimed </w:t>
      </w:r>
      <w:r w:rsidRPr="00D523C8">
        <w:rPr>
          <w:rFonts w:ascii="Times New Roman" w:hAnsi="Times New Roman"/>
          <w:color w:val="000000" w:themeColor="text1"/>
          <w:lang w:val="en-US"/>
        </w:rPr>
        <w:t>at coordinating policies for all dimensions of the environment protection</w:t>
      </w:r>
      <w:r w:rsidRPr="00632159">
        <w:rPr>
          <w:rStyle w:val="FootnoteReference"/>
        </w:rPr>
        <w:footnoteReference w:id="7"/>
      </w:r>
      <w:r w:rsidR="002521E8">
        <w:rPr>
          <w:rFonts w:ascii="Times New Roman" w:hAnsi="Times New Roman"/>
          <w:color w:val="000000" w:themeColor="text1"/>
          <w:lang w:val="en-US"/>
        </w:rPr>
        <w:t>.</w:t>
      </w:r>
      <w:r w:rsidRPr="00D523C8">
        <w:rPr>
          <w:rFonts w:ascii="Times New Roman" w:hAnsi="Times New Roman"/>
          <w:color w:val="000000" w:themeColor="text1"/>
          <w:lang w:val="en-US"/>
        </w:rPr>
        <w:t xml:space="preserve"> </w:t>
      </w:r>
    </w:p>
    <w:p w14:paraId="1EC02CA8" w14:textId="22BDE5EC" w:rsidR="00A33133" w:rsidRPr="00D523C8" w:rsidRDefault="00E14A75" w:rsidP="00A33133">
      <w:pPr>
        <w:pStyle w:val="Heading3"/>
        <w:spacing w:after="120"/>
        <w:ind w:left="720"/>
        <w:rPr>
          <w:rFonts w:ascii="Times New Roman" w:hAnsi="Times New Roman" w:cs="Times New Roman"/>
          <w:color w:val="000000" w:themeColor="text1"/>
        </w:rPr>
      </w:pPr>
      <w:r w:rsidRPr="00D523C8">
        <w:rPr>
          <w:rFonts w:ascii="Times New Roman" w:hAnsi="Times New Roman" w:cs="Times New Roman"/>
          <w:color w:val="000000" w:themeColor="text1"/>
        </w:rPr>
        <w:t>A</w:t>
      </w:r>
      <w:r w:rsidR="00A33133" w:rsidRPr="00D523C8">
        <w:rPr>
          <w:rFonts w:ascii="Times New Roman" w:hAnsi="Times New Roman" w:cs="Times New Roman"/>
          <w:color w:val="000000" w:themeColor="text1"/>
        </w:rPr>
        <w:t>4.7.2 The policy mix</w:t>
      </w:r>
    </w:p>
    <w:p w14:paraId="1D370F8E" w14:textId="71D4CA32" w:rsidR="00AE3909" w:rsidRPr="00D523C8" w:rsidRDefault="00AE3909" w:rsidP="00A33133">
      <w:pPr>
        <w:spacing w:after="120" w:line="360" w:lineRule="auto"/>
        <w:jc w:val="both"/>
        <w:rPr>
          <w:rFonts w:ascii="Times New Roman" w:hAnsi="Times New Roman"/>
          <w:color w:val="000000" w:themeColor="text1"/>
          <w:lang w:val="en-US"/>
        </w:rPr>
      </w:pPr>
      <w:r w:rsidRPr="00D523C8">
        <w:rPr>
          <w:rFonts w:ascii="Times New Roman" w:hAnsi="Times New Roman"/>
          <w:color w:val="000000" w:themeColor="text1"/>
          <w:lang w:val="en-US"/>
        </w:rPr>
        <w:t>See Figure 4 in the main text.</w:t>
      </w:r>
    </w:p>
    <w:p w14:paraId="4D7DDE9B" w14:textId="4CFE4EF2" w:rsidR="00A33133" w:rsidRPr="00D523C8" w:rsidRDefault="00A33133" w:rsidP="00AE3909">
      <w:pPr>
        <w:spacing w:after="120" w:line="360" w:lineRule="auto"/>
        <w:ind w:firstLine="720"/>
        <w:jc w:val="both"/>
        <w:rPr>
          <w:rFonts w:ascii="Times New Roman" w:hAnsi="Times New Roman"/>
          <w:color w:val="000000" w:themeColor="text1"/>
          <w:lang w:val="en-US"/>
        </w:rPr>
      </w:pPr>
      <w:r w:rsidRPr="00D523C8">
        <w:rPr>
          <w:rFonts w:ascii="Times New Roman" w:hAnsi="Times New Roman"/>
          <w:color w:val="000000" w:themeColor="text1"/>
          <w:lang w:val="en-US"/>
        </w:rPr>
        <w:t xml:space="preserve">In January 2016, the NDRC decided </w:t>
      </w:r>
      <w:r w:rsidR="002521E8">
        <w:rPr>
          <w:rFonts w:ascii="Times New Roman" w:hAnsi="Times New Roman"/>
          <w:color w:val="000000" w:themeColor="text1"/>
          <w:lang w:val="en-US"/>
        </w:rPr>
        <w:t xml:space="preserve">to implement </w:t>
      </w:r>
      <w:r w:rsidRPr="00D523C8">
        <w:rPr>
          <w:rFonts w:ascii="Times New Roman" w:hAnsi="Times New Roman"/>
          <w:color w:val="000000" w:themeColor="text1"/>
          <w:lang w:val="en-US"/>
        </w:rPr>
        <w:t>an electricity price premium of 0.01–0.005 yuan/kWh for coal-fired power plants, reducing emissions to a specified lower level</w:t>
      </w:r>
      <w:r w:rsidRPr="00632159">
        <w:rPr>
          <w:rStyle w:val="FootnoteReference"/>
        </w:rPr>
        <w:footnoteReference w:id="8"/>
      </w:r>
      <w:r w:rsidR="002521E8">
        <w:rPr>
          <w:rFonts w:ascii="Times New Roman" w:hAnsi="Times New Roman"/>
          <w:color w:val="000000" w:themeColor="text1"/>
          <w:lang w:val="en-US"/>
        </w:rPr>
        <w:t>.</w:t>
      </w:r>
      <w:r w:rsidRPr="00D523C8">
        <w:rPr>
          <w:rFonts w:ascii="Times New Roman" w:hAnsi="Times New Roman"/>
          <w:color w:val="000000" w:themeColor="text1"/>
          <w:lang w:val="en-US"/>
        </w:rPr>
        <w:t xml:space="preserve"> The Ambient Air Quality Standards (GB 3095-2012) became effective on January </w:t>
      </w:r>
      <w:r w:rsidR="002521E8">
        <w:rPr>
          <w:rFonts w:ascii="Times New Roman" w:hAnsi="Times New Roman"/>
          <w:color w:val="000000" w:themeColor="text1"/>
          <w:lang w:val="en-US"/>
        </w:rPr>
        <w:t xml:space="preserve">1, </w:t>
      </w:r>
      <w:r w:rsidRPr="00D523C8">
        <w:rPr>
          <w:rFonts w:ascii="Times New Roman" w:hAnsi="Times New Roman"/>
          <w:color w:val="000000" w:themeColor="text1"/>
          <w:lang w:val="en-US"/>
        </w:rPr>
        <w:t xml:space="preserve">2016. In the previous Ambient Air Quality Standards (GB 3095-1996), the government set different </w:t>
      </w:r>
      <w:r w:rsidRPr="00D523C8">
        <w:rPr>
          <w:rFonts w:ascii="Times New Roman" w:hAnsi="Times New Roman"/>
          <w:color w:val="000000" w:themeColor="text1"/>
          <w:lang w:val="en-US"/>
        </w:rPr>
        <w:lastRenderedPageBreak/>
        <w:t xml:space="preserve">emission limits for three types of area. The </w:t>
      </w:r>
      <w:r w:rsidRPr="00D523C8">
        <w:rPr>
          <w:rFonts w:ascii="Times New Roman" w:eastAsia="SimSun" w:hAnsi="Times New Roman"/>
          <w:color w:val="000000" w:themeColor="text1"/>
          <w:lang w:val="en-US"/>
        </w:rPr>
        <w:t>daily (24 hours) concentration limits for SO</w:t>
      </w:r>
      <w:r w:rsidRPr="00D523C8">
        <w:rPr>
          <w:rFonts w:ascii="Times New Roman" w:eastAsia="SimSun" w:hAnsi="Times New Roman"/>
          <w:color w:val="000000" w:themeColor="text1"/>
          <w:vertAlign w:val="subscript"/>
          <w:lang w:val="en-US"/>
        </w:rPr>
        <w:t>2</w:t>
      </w:r>
      <w:r w:rsidRPr="00D523C8">
        <w:rPr>
          <w:rFonts w:ascii="Times New Roman" w:eastAsia="SimSun" w:hAnsi="Times New Roman"/>
          <w:color w:val="000000" w:themeColor="text1"/>
          <w:lang w:val="en-US"/>
        </w:rPr>
        <w:t xml:space="preserve"> was 0.05 mg/m</w:t>
      </w:r>
      <w:r w:rsidRPr="00D523C8">
        <w:rPr>
          <w:rFonts w:ascii="Times New Roman" w:eastAsia="SimSun" w:hAnsi="Times New Roman"/>
          <w:color w:val="000000" w:themeColor="text1"/>
          <w:vertAlign w:val="superscript"/>
          <w:lang w:val="en-US"/>
        </w:rPr>
        <w:t>3</w:t>
      </w:r>
      <w:r w:rsidRPr="00D523C8">
        <w:rPr>
          <w:rFonts w:ascii="Times New Roman" w:eastAsia="SimSun" w:hAnsi="Times New Roman"/>
          <w:color w:val="000000" w:themeColor="text1"/>
          <w:lang w:val="en-US"/>
        </w:rPr>
        <w:t xml:space="preserve"> for class I areas</w:t>
      </w:r>
      <w:r w:rsidR="002521E8">
        <w:rPr>
          <w:rFonts w:ascii="Times New Roman" w:eastAsia="SimSun" w:hAnsi="Times New Roman"/>
          <w:color w:val="000000" w:themeColor="text1"/>
          <w:lang w:val="en-US"/>
        </w:rPr>
        <w:t>,</w:t>
      </w:r>
      <w:r w:rsidRPr="00D523C8">
        <w:rPr>
          <w:rFonts w:ascii="Times New Roman" w:eastAsia="SimSun" w:hAnsi="Times New Roman"/>
          <w:color w:val="000000" w:themeColor="text1"/>
          <w:lang w:val="en-US"/>
        </w:rPr>
        <w:t xml:space="preserve"> which are </w:t>
      </w:r>
      <w:r w:rsidRPr="00D523C8">
        <w:rPr>
          <w:rFonts w:ascii="Times New Roman" w:hAnsi="Times New Roman"/>
          <w:color w:val="000000" w:themeColor="text1"/>
          <w:lang w:val="en-US"/>
        </w:rPr>
        <w:t>special areas, such as national parks</w:t>
      </w:r>
      <w:r w:rsidRPr="00D523C8">
        <w:rPr>
          <w:rFonts w:ascii="Times New Roman" w:eastAsia="SimSun" w:hAnsi="Times New Roman"/>
          <w:color w:val="000000" w:themeColor="text1"/>
          <w:lang w:val="en-US"/>
        </w:rPr>
        <w:t>; 0.15 mg/m</w:t>
      </w:r>
      <w:r w:rsidRPr="00D523C8">
        <w:rPr>
          <w:rFonts w:ascii="Times New Roman" w:eastAsia="SimSun" w:hAnsi="Times New Roman"/>
          <w:color w:val="000000" w:themeColor="text1"/>
          <w:vertAlign w:val="superscript"/>
          <w:lang w:val="en-US"/>
        </w:rPr>
        <w:t>3</w:t>
      </w:r>
      <w:r w:rsidRPr="00D523C8">
        <w:rPr>
          <w:rFonts w:ascii="Times New Roman" w:eastAsia="SimSun" w:hAnsi="Times New Roman"/>
          <w:color w:val="000000" w:themeColor="text1"/>
          <w:lang w:val="en-US"/>
        </w:rPr>
        <w:t xml:space="preserve"> for class II areas, which are </w:t>
      </w:r>
      <w:r w:rsidRPr="00D523C8">
        <w:rPr>
          <w:rFonts w:ascii="Times New Roman" w:hAnsi="Times New Roman"/>
          <w:color w:val="000000" w:themeColor="text1"/>
          <w:lang w:val="en-US"/>
        </w:rPr>
        <w:t xml:space="preserve">urban and most industrial areas; </w:t>
      </w:r>
      <w:r w:rsidRPr="00D523C8">
        <w:rPr>
          <w:rFonts w:ascii="Times New Roman" w:eastAsia="SimSun" w:hAnsi="Times New Roman"/>
          <w:color w:val="000000" w:themeColor="text1"/>
          <w:lang w:val="en-US"/>
        </w:rPr>
        <w:t>and 0.25 mg/m</w:t>
      </w:r>
      <w:r w:rsidRPr="00D523C8">
        <w:rPr>
          <w:rFonts w:ascii="Times New Roman" w:eastAsia="SimSun" w:hAnsi="Times New Roman"/>
          <w:color w:val="000000" w:themeColor="text1"/>
          <w:vertAlign w:val="superscript"/>
          <w:lang w:val="en-US"/>
        </w:rPr>
        <w:t>3</w:t>
      </w:r>
      <w:r w:rsidRPr="00D523C8">
        <w:rPr>
          <w:rFonts w:ascii="Times New Roman" w:eastAsia="SimSun" w:hAnsi="Times New Roman"/>
          <w:color w:val="000000" w:themeColor="text1"/>
          <w:lang w:val="en-US"/>
        </w:rPr>
        <w:t xml:space="preserve"> for class III areas, which</w:t>
      </w:r>
      <w:r w:rsidRPr="00D523C8">
        <w:rPr>
          <w:rFonts w:ascii="Times New Roman" w:hAnsi="Times New Roman"/>
          <w:color w:val="000000" w:themeColor="text1"/>
          <w:lang w:val="en-US"/>
        </w:rPr>
        <w:t xml:space="preserve"> are special industrial areas. In GB 3095-2012, the MEP increased the policy strictness by setting two types of SO</w:t>
      </w:r>
      <w:r w:rsidRPr="00D523C8">
        <w:rPr>
          <w:rFonts w:ascii="Times New Roman" w:hAnsi="Times New Roman"/>
          <w:color w:val="000000" w:themeColor="text1"/>
          <w:vertAlign w:val="subscript"/>
          <w:lang w:val="en-US"/>
        </w:rPr>
        <w:t>2</w:t>
      </w:r>
      <w:r w:rsidRPr="00D523C8">
        <w:rPr>
          <w:rFonts w:ascii="Times New Roman" w:hAnsi="Times New Roman"/>
          <w:color w:val="000000" w:themeColor="text1"/>
          <w:lang w:val="en-US"/>
        </w:rPr>
        <w:t xml:space="preserve"> concentration limits only: </w:t>
      </w:r>
      <w:r w:rsidRPr="00D523C8">
        <w:rPr>
          <w:rFonts w:ascii="Times New Roman" w:eastAsia="SimSun" w:hAnsi="Times New Roman"/>
          <w:color w:val="000000" w:themeColor="text1"/>
          <w:lang w:val="en-US"/>
        </w:rPr>
        <w:t>0.05 mg/m</w:t>
      </w:r>
      <w:r w:rsidRPr="00D523C8">
        <w:rPr>
          <w:rFonts w:ascii="Times New Roman" w:eastAsia="SimSun" w:hAnsi="Times New Roman"/>
          <w:color w:val="000000" w:themeColor="text1"/>
          <w:vertAlign w:val="superscript"/>
          <w:lang w:val="en-US"/>
        </w:rPr>
        <w:t>3</w:t>
      </w:r>
      <w:r w:rsidRPr="00D523C8">
        <w:rPr>
          <w:rFonts w:ascii="Times New Roman" w:eastAsia="SimSun" w:hAnsi="Times New Roman"/>
          <w:color w:val="000000" w:themeColor="text1"/>
          <w:lang w:val="en-US"/>
        </w:rPr>
        <w:t xml:space="preserve"> for class I areas, such as national parks; and 0.15 mg/m</w:t>
      </w:r>
      <w:r w:rsidRPr="00D523C8">
        <w:rPr>
          <w:rFonts w:ascii="Times New Roman" w:eastAsia="SimSun" w:hAnsi="Times New Roman"/>
          <w:color w:val="000000" w:themeColor="text1"/>
          <w:vertAlign w:val="superscript"/>
          <w:lang w:val="en-US"/>
        </w:rPr>
        <w:t>3</w:t>
      </w:r>
      <w:r w:rsidRPr="00D523C8">
        <w:rPr>
          <w:rFonts w:ascii="Times New Roman" w:eastAsia="SimSun" w:hAnsi="Times New Roman"/>
          <w:color w:val="000000" w:themeColor="text1"/>
          <w:lang w:val="en-US"/>
        </w:rPr>
        <w:t xml:space="preserve"> for all other areas. </w:t>
      </w:r>
      <w:r w:rsidRPr="00D523C8">
        <w:rPr>
          <w:rFonts w:ascii="Times New Roman" w:hAnsi="Times New Roman"/>
          <w:color w:val="000000" w:themeColor="text1"/>
          <w:lang w:val="en-US"/>
        </w:rPr>
        <w:t>In 2018, the important environmental policy change was the replacement of the pollution discharge fee with environmental taxation. The tax rate for SO</w:t>
      </w:r>
      <w:r w:rsidRPr="00D523C8">
        <w:rPr>
          <w:rFonts w:ascii="Times New Roman" w:hAnsi="Times New Roman"/>
          <w:color w:val="000000" w:themeColor="text1"/>
          <w:vertAlign w:val="subscript"/>
          <w:lang w:val="en-US"/>
        </w:rPr>
        <w:t>2</w:t>
      </w:r>
      <w:r w:rsidRPr="00D523C8">
        <w:rPr>
          <w:rFonts w:ascii="Times New Roman" w:hAnsi="Times New Roman"/>
          <w:color w:val="000000" w:themeColor="text1"/>
          <w:lang w:val="en-US"/>
        </w:rPr>
        <w:t xml:space="preserve"> (or NOx) </w:t>
      </w:r>
      <w:r w:rsidR="002521E8">
        <w:rPr>
          <w:rFonts w:ascii="Times New Roman" w:hAnsi="Times New Roman"/>
          <w:color w:val="000000" w:themeColor="text1"/>
          <w:lang w:val="en-US"/>
        </w:rPr>
        <w:t>was set at</w:t>
      </w:r>
      <w:r w:rsidR="002521E8" w:rsidRPr="00D523C8">
        <w:rPr>
          <w:rFonts w:ascii="Times New Roman" w:hAnsi="Times New Roman"/>
          <w:color w:val="000000" w:themeColor="text1"/>
          <w:lang w:val="en-US"/>
        </w:rPr>
        <w:t xml:space="preserve"> </w:t>
      </w:r>
      <w:r w:rsidRPr="00D523C8">
        <w:rPr>
          <w:rFonts w:ascii="Times New Roman" w:hAnsi="Times New Roman"/>
          <w:color w:val="000000" w:themeColor="text1"/>
          <w:lang w:val="en-US"/>
        </w:rPr>
        <w:t xml:space="preserve">1.2–12 yuan/PE, which can be determined by the local government, according to the local context. </w:t>
      </w:r>
    </w:p>
    <w:p w14:paraId="70D1B546" w14:textId="0BEAA58A" w:rsidR="00A33133" w:rsidRPr="00D523C8" w:rsidRDefault="00A33133" w:rsidP="00A33133">
      <w:pPr>
        <w:spacing w:line="360" w:lineRule="auto"/>
        <w:ind w:firstLine="720"/>
        <w:jc w:val="both"/>
        <w:rPr>
          <w:rFonts w:ascii="Times New Roman" w:hAnsi="Times New Roman"/>
          <w:color w:val="000000" w:themeColor="text1"/>
          <w:lang w:val="en-US"/>
        </w:rPr>
      </w:pPr>
      <w:r w:rsidRPr="00D523C8">
        <w:rPr>
          <w:rFonts w:ascii="Times New Roman" w:hAnsi="Times New Roman"/>
          <w:color w:val="000000" w:themeColor="text1"/>
          <w:lang w:val="en-US"/>
        </w:rPr>
        <w:t xml:space="preserve">With respect to renewable energy support, the government </w:t>
      </w:r>
      <w:r w:rsidR="002521E8">
        <w:rPr>
          <w:rFonts w:ascii="Times New Roman" w:hAnsi="Times New Roman"/>
          <w:color w:val="000000" w:themeColor="text1"/>
          <w:lang w:val="en-US"/>
        </w:rPr>
        <w:t xml:space="preserve">has made </w:t>
      </w:r>
      <w:r w:rsidRPr="00D523C8">
        <w:rPr>
          <w:rFonts w:ascii="Times New Roman" w:hAnsi="Times New Roman"/>
          <w:color w:val="000000" w:themeColor="text1"/>
          <w:lang w:val="en-US"/>
        </w:rPr>
        <w:t xml:space="preserve">efforts to achieve the grid-parity pricing of renewable electricity and reduce the unintended curtailment issues. On January </w:t>
      </w:r>
      <w:r w:rsidR="002521E8">
        <w:rPr>
          <w:rFonts w:ascii="Times New Roman" w:hAnsi="Times New Roman"/>
          <w:color w:val="000000" w:themeColor="text1"/>
          <w:lang w:val="en-US"/>
        </w:rPr>
        <w:t xml:space="preserve">1, </w:t>
      </w:r>
      <w:r w:rsidRPr="00D523C8">
        <w:rPr>
          <w:rFonts w:ascii="Times New Roman" w:hAnsi="Times New Roman"/>
          <w:color w:val="000000" w:themeColor="text1"/>
          <w:lang w:val="en-US"/>
        </w:rPr>
        <w:t>2016, the Air Pollution Prevention and Control Law (2015 Amendments) stated that the dispatching priority should be given to renewable electricity. To reduce the unintended curtailment issue, in 2016</w:t>
      </w:r>
      <w:r w:rsidR="002521E8">
        <w:rPr>
          <w:rFonts w:ascii="Times New Roman" w:hAnsi="Times New Roman"/>
          <w:color w:val="000000" w:themeColor="text1"/>
          <w:lang w:val="en-US"/>
        </w:rPr>
        <w:t>,</w:t>
      </w:r>
      <w:r w:rsidRPr="00D523C8">
        <w:rPr>
          <w:rFonts w:ascii="Times New Roman" w:hAnsi="Times New Roman"/>
          <w:color w:val="000000" w:themeColor="text1"/>
          <w:lang w:val="en-US"/>
        </w:rPr>
        <w:t xml:space="preserve"> the NDRC further pushed the guarantees of renewable electricity purchases by grid firms. In addition, the government has implemented market monitoring and early warning instrument for solar PV since 2016 and </w:t>
      </w:r>
      <w:r w:rsidR="002521E8">
        <w:rPr>
          <w:rFonts w:ascii="Times New Roman" w:hAnsi="Times New Roman"/>
          <w:color w:val="000000" w:themeColor="text1"/>
          <w:lang w:val="en-US"/>
        </w:rPr>
        <w:t xml:space="preserve">for the </w:t>
      </w:r>
      <w:r w:rsidRPr="00D523C8">
        <w:rPr>
          <w:rFonts w:ascii="Times New Roman" w:hAnsi="Times New Roman"/>
          <w:color w:val="000000" w:themeColor="text1"/>
          <w:lang w:val="en-US"/>
        </w:rPr>
        <w:t xml:space="preserve">wind industry since 2017. </w:t>
      </w:r>
      <w:r w:rsidRPr="00D523C8">
        <w:rPr>
          <w:rFonts w:ascii="Times New Roman" w:hAnsi="Times New Roman"/>
          <w:lang w:val="en-US"/>
        </w:rPr>
        <w:t xml:space="preserve">The instrument labels the market condition of different provinces, suggesting to investors not to invest in new renewable electricity installations in areas that have a curtailment risk. </w:t>
      </w:r>
      <w:r w:rsidRPr="00D523C8">
        <w:rPr>
          <w:rFonts w:ascii="Times New Roman" w:hAnsi="Times New Roman"/>
          <w:color w:val="000000" w:themeColor="text1"/>
          <w:lang w:val="en-US"/>
        </w:rPr>
        <w:t xml:space="preserve">In January 2017, the NDRC, the NEA and the Ministry of Finance decided to conduct a trial implementation of tradable green certificate (TGC), </w:t>
      </w:r>
      <w:r w:rsidR="002521E8">
        <w:rPr>
          <w:rFonts w:ascii="Times New Roman" w:hAnsi="Times New Roman"/>
          <w:color w:val="000000" w:themeColor="text1"/>
          <w:lang w:val="en-US"/>
        </w:rPr>
        <w:t xml:space="preserve">aimed at reducing </w:t>
      </w:r>
      <w:r w:rsidRPr="00D523C8">
        <w:rPr>
          <w:rFonts w:ascii="Times New Roman" w:hAnsi="Times New Roman"/>
          <w:color w:val="000000" w:themeColor="text1"/>
          <w:lang w:val="en-US"/>
        </w:rPr>
        <w:t>the government’s subsidy costs. In May 2017, the NEA launched the grid-parity pricing projects for wind electricity. In September 2017, the NEA launched the “Leader” solar PV projects; these focus</w:t>
      </w:r>
      <w:r w:rsidR="002521E8">
        <w:rPr>
          <w:rFonts w:ascii="Times New Roman" w:hAnsi="Times New Roman"/>
          <w:color w:val="000000" w:themeColor="text1"/>
          <w:lang w:val="en-US"/>
        </w:rPr>
        <w:t>ed</w:t>
      </w:r>
      <w:r w:rsidRPr="00D523C8">
        <w:rPr>
          <w:rFonts w:ascii="Times New Roman" w:hAnsi="Times New Roman"/>
          <w:color w:val="000000" w:themeColor="text1"/>
          <w:lang w:val="en-US"/>
        </w:rPr>
        <w:t xml:space="preserve"> on the research, development and demonstration of technologies, aiming to push technology innovation and decrease the production costs of solar electric power.</w:t>
      </w:r>
    </w:p>
    <w:p w14:paraId="6AD78F9D" w14:textId="1FB0BA13" w:rsidR="00071B18" w:rsidRPr="00D523C8" w:rsidRDefault="00A33133" w:rsidP="00973A0C">
      <w:pPr>
        <w:spacing w:line="360" w:lineRule="auto"/>
        <w:ind w:firstLine="720"/>
        <w:jc w:val="both"/>
        <w:rPr>
          <w:rFonts w:ascii="Times New Roman" w:hAnsi="Times New Roman"/>
          <w:color w:val="000000" w:themeColor="text1"/>
          <w:lang w:val="en-US"/>
        </w:rPr>
      </w:pPr>
      <w:r w:rsidRPr="00D523C8">
        <w:rPr>
          <w:rFonts w:ascii="Times New Roman" w:hAnsi="Times New Roman"/>
          <w:color w:val="000000" w:themeColor="text1"/>
          <w:lang w:val="en-US"/>
        </w:rPr>
        <w:t>For hydroelectric development, in May 2016, the NDRC and the MWR launched the piloting projects of Rural Small Hydropower for Poverty Alleviation, layering the poverty alleviation goal on the goal of rural hydropower development. In June 2017, the MWR launched the program “Green” Small Hydropower Stations, which would label some small hydropower stations as “</w:t>
      </w:r>
      <w:r w:rsidR="002521E8">
        <w:rPr>
          <w:rFonts w:ascii="Times New Roman" w:hAnsi="Times New Roman"/>
          <w:color w:val="000000" w:themeColor="text1"/>
          <w:lang w:val="en-US"/>
        </w:rPr>
        <w:t>g</w:t>
      </w:r>
      <w:r w:rsidRPr="00D523C8">
        <w:rPr>
          <w:rFonts w:ascii="Times New Roman" w:hAnsi="Times New Roman"/>
          <w:color w:val="000000" w:themeColor="text1"/>
          <w:lang w:val="en-US"/>
        </w:rPr>
        <w:t>reen” provided that they met certain environmental criteria. To address the ecological issues incurred by the rapid expansion of small hydropower in the Yangtze River Economic Belt, in May 2018, the MWR, NEA and NDRC together decided to conduct a thorough investigation into small hydropower projects in the region, retrofitting or shutting down those causing serious ecological problems.</w:t>
      </w:r>
    </w:p>
    <w:p w14:paraId="6AAD7152" w14:textId="2CF9DF4A" w:rsidR="00071B18" w:rsidRPr="00D523C8" w:rsidRDefault="00071B18" w:rsidP="00071B18">
      <w:pPr>
        <w:pStyle w:val="Heading1"/>
        <w:spacing w:after="240"/>
        <w:rPr>
          <w:rFonts w:ascii="Times New Roman" w:hAnsi="Times New Roman" w:cs="Times New Roman"/>
          <w:color w:val="000000" w:themeColor="text1"/>
        </w:rPr>
      </w:pPr>
      <w:r w:rsidRPr="00D523C8">
        <w:rPr>
          <w:rFonts w:ascii="Times New Roman" w:hAnsi="Times New Roman" w:cs="Times New Roman"/>
          <w:color w:val="000000" w:themeColor="text1"/>
        </w:rPr>
        <w:lastRenderedPageBreak/>
        <w:t>A5 Interactions between policy instruments</w:t>
      </w:r>
    </w:p>
    <w:p w14:paraId="3AE10E6A" w14:textId="7303C89C" w:rsidR="00E66E28" w:rsidRPr="00D523C8" w:rsidRDefault="001F239C" w:rsidP="00E66E28">
      <w:pPr>
        <w:spacing w:line="360" w:lineRule="auto"/>
        <w:ind w:firstLine="720"/>
        <w:jc w:val="both"/>
        <w:rPr>
          <w:rFonts w:ascii="Times New Roman" w:hAnsi="Times New Roman"/>
          <w:color w:val="000000" w:themeColor="text1"/>
          <w:lang w:val="en-US"/>
        </w:rPr>
      </w:pPr>
      <w:r w:rsidRPr="00D523C8">
        <w:rPr>
          <w:rFonts w:ascii="Times New Roman" w:hAnsi="Times New Roman"/>
          <w:lang w:val="en-US"/>
        </w:rPr>
        <w:t xml:space="preserve">Accordingly, 1) </w:t>
      </w:r>
      <w:r w:rsidRPr="00A77EA5">
        <w:rPr>
          <w:rFonts w:ascii="Times New Roman" w:hAnsi="Times New Roman"/>
          <w:i/>
          <w:iCs/>
          <w:lang w:val="en-US"/>
        </w:rPr>
        <w:t>precondition</w:t>
      </w:r>
      <w:r w:rsidRPr="00D523C8">
        <w:rPr>
          <w:rFonts w:ascii="Times New Roman" w:hAnsi="Times New Roman"/>
          <w:lang w:val="en-US"/>
        </w:rPr>
        <w:t xml:space="preserve"> refers to case</w:t>
      </w:r>
      <w:r w:rsidR="002521E8">
        <w:rPr>
          <w:rFonts w:ascii="Times New Roman" w:hAnsi="Times New Roman"/>
          <w:lang w:val="en-US"/>
        </w:rPr>
        <w:t>s</w:t>
      </w:r>
      <w:r w:rsidRPr="00D523C8">
        <w:rPr>
          <w:rFonts w:ascii="Times New Roman" w:hAnsi="Times New Roman"/>
          <w:lang w:val="en-US"/>
        </w:rPr>
        <w:t xml:space="preserve"> where a policy instrument is strictly required for the successful implementation of another; 2) </w:t>
      </w:r>
      <w:r w:rsidRPr="00A77EA5">
        <w:rPr>
          <w:rFonts w:ascii="Times New Roman" w:hAnsi="Times New Roman"/>
          <w:i/>
          <w:iCs/>
          <w:lang w:val="en-US"/>
        </w:rPr>
        <w:t>facilitation</w:t>
      </w:r>
      <w:r w:rsidRPr="00D523C8">
        <w:rPr>
          <w:rFonts w:ascii="Times New Roman" w:hAnsi="Times New Roman"/>
          <w:lang w:val="en-US"/>
        </w:rPr>
        <w:t xml:space="preserve"> refers to case</w:t>
      </w:r>
      <w:r w:rsidR="002521E8">
        <w:rPr>
          <w:rFonts w:ascii="Times New Roman" w:hAnsi="Times New Roman"/>
          <w:lang w:val="en-US"/>
        </w:rPr>
        <w:t>s</w:t>
      </w:r>
      <w:r w:rsidRPr="00D523C8">
        <w:rPr>
          <w:rFonts w:ascii="Times New Roman" w:hAnsi="Times New Roman"/>
          <w:lang w:val="en-US"/>
        </w:rPr>
        <w:t xml:space="preserve"> where the successful implementation of a policy instrument can make another policy instrument work better; 3) </w:t>
      </w:r>
      <w:r w:rsidRPr="00A77EA5">
        <w:rPr>
          <w:rFonts w:ascii="Times New Roman" w:hAnsi="Times New Roman"/>
          <w:i/>
          <w:iCs/>
          <w:lang w:val="en-US"/>
        </w:rPr>
        <w:t>synergy</w:t>
      </w:r>
      <w:r w:rsidRPr="00D523C8">
        <w:rPr>
          <w:rFonts w:ascii="Times New Roman" w:hAnsi="Times New Roman"/>
          <w:lang w:val="en-US"/>
        </w:rPr>
        <w:t xml:space="preserve"> refers to case</w:t>
      </w:r>
      <w:r w:rsidR="002521E8">
        <w:rPr>
          <w:rFonts w:ascii="Times New Roman" w:hAnsi="Times New Roman"/>
          <w:lang w:val="en-US"/>
        </w:rPr>
        <w:t>s</w:t>
      </w:r>
      <w:r w:rsidRPr="00D523C8">
        <w:rPr>
          <w:rFonts w:ascii="Times New Roman" w:hAnsi="Times New Roman"/>
          <w:lang w:val="en-US"/>
        </w:rPr>
        <w:t xml:space="preserve"> where two policy instruments “facilitate” each other; 4) </w:t>
      </w:r>
      <w:r w:rsidRPr="00A77EA5">
        <w:rPr>
          <w:rFonts w:ascii="Times New Roman" w:hAnsi="Times New Roman"/>
          <w:i/>
          <w:iCs/>
          <w:lang w:val="en-US"/>
        </w:rPr>
        <w:t>potential contradiction</w:t>
      </w:r>
      <w:r w:rsidRPr="00D523C8">
        <w:rPr>
          <w:rFonts w:ascii="Times New Roman" w:hAnsi="Times New Roman"/>
          <w:lang w:val="en-US"/>
        </w:rPr>
        <w:t xml:space="preserve"> refers to case</w:t>
      </w:r>
      <w:r w:rsidR="002521E8">
        <w:rPr>
          <w:rFonts w:ascii="Times New Roman" w:hAnsi="Times New Roman"/>
          <w:lang w:val="en-US"/>
        </w:rPr>
        <w:t>s</w:t>
      </w:r>
      <w:r w:rsidRPr="00D523C8">
        <w:rPr>
          <w:rFonts w:ascii="Times New Roman" w:hAnsi="Times New Roman"/>
          <w:lang w:val="en-US"/>
        </w:rPr>
        <w:t xml:space="preserve"> where two policy instruments conflict in terms of outcomes or incentives given certain contingencies; </w:t>
      </w:r>
      <w:r w:rsidR="002521E8">
        <w:rPr>
          <w:rFonts w:ascii="Times New Roman" w:hAnsi="Times New Roman"/>
          <w:lang w:val="en-US"/>
        </w:rPr>
        <w:t xml:space="preserve">and </w:t>
      </w:r>
      <w:r w:rsidRPr="00D523C8">
        <w:rPr>
          <w:rFonts w:ascii="Times New Roman" w:hAnsi="Times New Roman"/>
          <w:lang w:val="en-US"/>
        </w:rPr>
        <w:t xml:space="preserve">5) </w:t>
      </w:r>
      <w:r w:rsidRPr="00A77EA5">
        <w:rPr>
          <w:rFonts w:ascii="Times New Roman" w:hAnsi="Times New Roman"/>
          <w:i/>
          <w:iCs/>
          <w:lang w:val="en-US"/>
        </w:rPr>
        <w:t>contradiction</w:t>
      </w:r>
      <w:r w:rsidRPr="00D523C8">
        <w:rPr>
          <w:rFonts w:ascii="Times New Roman" w:hAnsi="Times New Roman"/>
          <w:lang w:val="en-US"/>
        </w:rPr>
        <w:t xml:space="preserve"> refers to case</w:t>
      </w:r>
      <w:r w:rsidR="002521E8">
        <w:rPr>
          <w:rFonts w:ascii="Times New Roman" w:hAnsi="Times New Roman"/>
          <w:lang w:val="en-US"/>
        </w:rPr>
        <w:t>s</w:t>
      </w:r>
      <w:r w:rsidRPr="00D523C8">
        <w:rPr>
          <w:rFonts w:ascii="Times New Roman" w:hAnsi="Times New Roman"/>
          <w:lang w:val="en-US"/>
        </w:rPr>
        <w:t xml:space="preserve"> where two policy instruments generate “strictly” conflicting outcomes or incentives.</w:t>
      </w:r>
    </w:p>
    <w:p w14:paraId="1AE13739" w14:textId="733403DA" w:rsidR="00071B18" w:rsidRPr="00D523C8" w:rsidRDefault="00071B18" w:rsidP="00E66E28">
      <w:pPr>
        <w:spacing w:line="360" w:lineRule="auto"/>
        <w:ind w:firstLine="720"/>
        <w:jc w:val="both"/>
        <w:rPr>
          <w:rFonts w:ascii="Times New Roman" w:hAnsi="Times New Roman"/>
          <w:color w:val="000000" w:themeColor="text1"/>
          <w:lang w:val="en-US"/>
        </w:rPr>
      </w:pPr>
      <w:r w:rsidRPr="00D523C8">
        <w:rPr>
          <w:rFonts w:ascii="Times New Roman" w:hAnsi="Times New Roman"/>
          <w:lang w:val="en-US"/>
        </w:rPr>
        <w:t>Figure 6 illustrates the policy interactions</w:t>
      </w:r>
      <w:r w:rsidR="002521E8">
        <w:rPr>
          <w:rFonts w:ascii="Times New Roman" w:hAnsi="Times New Roman"/>
          <w:lang w:val="en-US"/>
        </w:rPr>
        <w:t>,</w:t>
      </w:r>
      <w:r w:rsidRPr="00D523C8">
        <w:rPr>
          <w:rFonts w:ascii="Times New Roman" w:hAnsi="Times New Roman"/>
          <w:lang w:val="en-US"/>
        </w:rPr>
        <w:t xml:space="preserve"> not only within a single policy instrument mix (policy package) but also between various between instrument mixes (policy packages) addressing different strategies in the 13th FYP. For the policy strategy of directly addressing CO</w:t>
      </w:r>
      <w:r w:rsidRPr="00D523C8">
        <w:rPr>
          <w:rFonts w:ascii="Times New Roman" w:hAnsi="Times New Roman"/>
          <w:vertAlign w:val="subscript"/>
          <w:lang w:val="en-US"/>
        </w:rPr>
        <w:t>2</w:t>
      </w:r>
      <w:r w:rsidRPr="00D523C8">
        <w:rPr>
          <w:rFonts w:ascii="Times New Roman" w:hAnsi="Times New Roman"/>
          <w:lang w:val="en-US"/>
        </w:rPr>
        <w:t xml:space="preserve"> mitigation, the central government utilizes the responsibility-based governance approach by setting CO</w:t>
      </w:r>
      <w:r w:rsidRPr="00D523C8">
        <w:rPr>
          <w:rFonts w:ascii="Times New Roman" w:hAnsi="Times New Roman"/>
          <w:vertAlign w:val="subscript"/>
          <w:lang w:val="en-US"/>
        </w:rPr>
        <w:t>2</w:t>
      </w:r>
      <w:r w:rsidRPr="00D523C8">
        <w:rPr>
          <w:rFonts w:ascii="Times New Roman" w:hAnsi="Times New Roman"/>
          <w:lang w:val="en-US"/>
        </w:rPr>
        <w:t xml:space="preserve"> emission intensity reduction targets for local governments. Other policy instruments, such as CO</w:t>
      </w:r>
      <w:r w:rsidRPr="00D523C8">
        <w:rPr>
          <w:rFonts w:ascii="Times New Roman" w:hAnsi="Times New Roman"/>
          <w:vertAlign w:val="subscript"/>
          <w:lang w:val="en-US"/>
        </w:rPr>
        <w:t>2</w:t>
      </w:r>
      <w:r w:rsidRPr="00D523C8">
        <w:rPr>
          <w:rFonts w:ascii="Times New Roman" w:hAnsi="Times New Roman"/>
          <w:lang w:val="en-US"/>
        </w:rPr>
        <w:t xml:space="preserve"> ETS, </w:t>
      </w:r>
      <w:r w:rsidR="002521E8">
        <w:rPr>
          <w:rFonts w:ascii="Times New Roman" w:hAnsi="Times New Roman"/>
          <w:lang w:val="en-US"/>
        </w:rPr>
        <w:t xml:space="preserve">the </w:t>
      </w:r>
      <w:r w:rsidRPr="00D523C8">
        <w:rPr>
          <w:rFonts w:ascii="Times New Roman" w:hAnsi="Times New Roman"/>
          <w:lang w:val="en-US"/>
        </w:rPr>
        <w:t>CDM Fund and public information campaigns, all facilitate the achievement of the local CO</w:t>
      </w:r>
      <w:r w:rsidRPr="00D523C8">
        <w:rPr>
          <w:rFonts w:ascii="Times New Roman" w:hAnsi="Times New Roman"/>
          <w:vertAlign w:val="subscript"/>
          <w:lang w:val="en-US"/>
        </w:rPr>
        <w:t>2</w:t>
      </w:r>
      <w:r w:rsidRPr="00D523C8">
        <w:rPr>
          <w:rFonts w:ascii="Times New Roman" w:hAnsi="Times New Roman"/>
          <w:lang w:val="en-US"/>
        </w:rPr>
        <w:t xml:space="preserve"> mitigation targets. </w:t>
      </w:r>
      <w:r w:rsidR="002521E8">
        <w:rPr>
          <w:rFonts w:ascii="Times New Roman" w:hAnsi="Times New Roman"/>
          <w:lang w:val="en-US"/>
        </w:rPr>
        <w:t xml:space="preserve">The </w:t>
      </w:r>
      <w:r w:rsidRPr="00D523C8">
        <w:rPr>
          <w:rFonts w:ascii="Times New Roman" w:hAnsi="Times New Roman"/>
          <w:lang w:val="en-US"/>
        </w:rPr>
        <w:t>CO</w:t>
      </w:r>
      <w:r w:rsidRPr="00D523C8">
        <w:rPr>
          <w:rFonts w:ascii="Times New Roman" w:hAnsi="Times New Roman"/>
          <w:vertAlign w:val="subscript"/>
          <w:lang w:val="en-US"/>
        </w:rPr>
        <w:t>2</w:t>
      </w:r>
      <w:r w:rsidRPr="00D523C8">
        <w:rPr>
          <w:rFonts w:ascii="Times New Roman" w:hAnsi="Times New Roman"/>
          <w:lang w:val="en-US"/>
        </w:rPr>
        <w:t xml:space="preserve"> ETS so far works in the piloting areas, while the CDM Fund serves as a financial source for nationwide climate actions. </w:t>
      </w:r>
    </w:p>
    <w:p w14:paraId="4D1056C7" w14:textId="52E4C755" w:rsidR="00071B18" w:rsidRPr="00D523C8" w:rsidRDefault="00071B18" w:rsidP="00071B18">
      <w:pPr>
        <w:spacing w:line="360" w:lineRule="auto"/>
        <w:ind w:firstLine="720"/>
        <w:jc w:val="both"/>
        <w:rPr>
          <w:rFonts w:ascii="Times New Roman" w:hAnsi="Times New Roman"/>
          <w:lang w:val="en-US"/>
        </w:rPr>
      </w:pPr>
      <w:r w:rsidRPr="00D523C8">
        <w:rPr>
          <w:rFonts w:ascii="Times New Roman" w:hAnsi="Times New Roman"/>
          <w:lang w:val="en-US"/>
        </w:rPr>
        <w:t xml:space="preserve">To reduce air pollutants from coal-fired power plants, the MEP, together with the NDRC, has implemented two process-oriented policy instruments since 2014: 1) mandating denitrification, desulphurization and dust removal equipment; and 2) setting an electricity price premium for units with that environmental equipment. The latter facilitates the implementation of the former by mitigating </w:t>
      </w:r>
      <w:r w:rsidR="002521E8">
        <w:rPr>
          <w:rFonts w:ascii="Times New Roman" w:hAnsi="Times New Roman"/>
          <w:lang w:val="en-US"/>
        </w:rPr>
        <w:t xml:space="preserve">the </w:t>
      </w:r>
      <w:r w:rsidRPr="00D523C8">
        <w:rPr>
          <w:rFonts w:ascii="Times New Roman" w:hAnsi="Times New Roman"/>
          <w:lang w:val="en-US"/>
        </w:rPr>
        <w:t>cost barriers of installing thos</w:t>
      </w:r>
      <w:r w:rsidR="00BF79F3" w:rsidRPr="00D523C8">
        <w:rPr>
          <w:rFonts w:ascii="Times New Roman" w:hAnsi="Times New Roman"/>
          <w:lang w:val="en-US"/>
        </w:rPr>
        <w:t>e</w:t>
      </w:r>
      <w:r w:rsidR="004C0DD5" w:rsidRPr="00D523C8">
        <w:rPr>
          <w:rFonts w:ascii="Times New Roman" w:hAnsi="Times New Roman"/>
          <w:lang w:val="en-US"/>
        </w:rPr>
        <w:t xml:space="preserve"> </w:t>
      </w:r>
      <w:r w:rsidRPr="00D523C8">
        <w:rPr>
          <w:rFonts w:ascii="Times New Roman" w:hAnsi="Times New Roman"/>
          <w:lang w:val="en-US"/>
        </w:rPr>
        <w:t xml:space="preserve">equipment. The mandatory instrument suggests the government’s willing to push through mandatory environmental equipment among the coal electricity plants, but the implementation effectiveness </w:t>
      </w:r>
      <w:r w:rsidR="002521E8">
        <w:rPr>
          <w:rFonts w:ascii="Times New Roman" w:hAnsi="Times New Roman"/>
          <w:lang w:val="en-US"/>
        </w:rPr>
        <w:t xml:space="preserve">has </w:t>
      </w:r>
      <w:r w:rsidRPr="00D523C8">
        <w:rPr>
          <w:rFonts w:ascii="Times New Roman" w:hAnsi="Times New Roman"/>
          <w:lang w:val="en-US"/>
        </w:rPr>
        <w:t xml:space="preserve">not </w:t>
      </w:r>
      <w:r w:rsidR="002521E8">
        <w:rPr>
          <w:rFonts w:ascii="Times New Roman" w:hAnsi="Times New Roman"/>
          <w:lang w:val="en-US"/>
        </w:rPr>
        <w:t xml:space="preserve">been </w:t>
      </w:r>
      <w:r w:rsidRPr="00D523C8">
        <w:rPr>
          <w:rFonts w:ascii="Times New Roman" w:hAnsi="Times New Roman"/>
          <w:lang w:val="en-US"/>
        </w:rPr>
        <w:t xml:space="preserve">as </w:t>
      </w:r>
      <w:r w:rsidR="002521E8">
        <w:rPr>
          <w:rFonts w:ascii="Times New Roman" w:hAnsi="Times New Roman"/>
          <w:lang w:val="en-US"/>
        </w:rPr>
        <w:t xml:space="preserve">high as </w:t>
      </w:r>
      <w:r w:rsidRPr="00D523C8">
        <w:rPr>
          <w:rFonts w:ascii="Times New Roman" w:hAnsi="Times New Roman"/>
          <w:lang w:val="en-US"/>
        </w:rPr>
        <w:t xml:space="preserve">intended due to the high costs of installing and operating the equipment. As such, the electricity price premium works as an interim instrument to provide economic incentives. The two instruments constitute a combination of “carrots and sticks”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{"citationItems":[{"id":"ITEM-1","itemData":{"ISBN":"1560003383, 9781560003380","author":[{"dropping-particle":"","family":"Bemelmans-Videc","given":"Marie-Louise","non-dropping-particle":"","parse-names":false,"suffix":""},{"dropping-particle":"","family":"Rist","given":"Ray C.","non-dropping-particle":"","parse-names":false,"suffix":""},{"dropping-particle":"","family":"Vedung","given":"Evert Oskar","non-dropping-particle":"","parse-names":false,"suffix":""}],"editor":[{"dropping-particle":"","family":"Bemelmans-Videc","given":"Marie-Louise","non-dropping-particle":"","parse-names":false,"suffix":""},{"dropping-particle":"","family":"Rist","given":"Ray C.","non-dropping-particle":"","parse-names":false,"suffix":""},{"dropping-particle":"","family":"Vedung","given":"Evert Oskar","non-dropping-particle":"","parse-names":false,"suffix":""}],"id":"ITEM-1","issued":{"date-parts":[["1998"]]},"publisher":"Transaction Publishers","publisher-place":"New Jersey, USA","title":"Carrots, sticks and sermons: Policy instruments and their evaluation","type":"book"},"uris":["http://www.mendeley.com/documents/?uuid=42760e7b-6dc5-47bb-b0e7-744ccbde146a"]}],"mendeley":{"formattedCitation":"[19]","plainTextFormattedCitation":"[19]","previouslyFormattedCitation":"[19]"},"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[19]</w:t>
      </w:r>
      <w:r w:rsidRPr="00D523C8">
        <w:rPr>
          <w:rFonts w:ascii="Times New Roman" w:hAnsi="Times New Roman"/>
          <w:lang w:val="en-US"/>
        </w:rPr>
        <w:fldChar w:fldCharType="end"/>
      </w:r>
      <w:r w:rsidR="002521E8">
        <w:rPr>
          <w:rFonts w:ascii="Times New Roman" w:hAnsi="Times New Roman"/>
          <w:lang w:val="en-US"/>
        </w:rPr>
        <w:t>, b</w:t>
      </w:r>
      <w:r w:rsidRPr="00D523C8">
        <w:rPr>
          <w:rFonts w:ascii="Times New Roman" w:hAnsi="Times New Roman"/>
          <w:lang w:val="en-US"/>
        </w:rPr>
        <w:t xml:space="preserve">ut when the environmental equipment is prevalent among the coal-fired power plants in the future, the incentive of the price premium </w:t>
      </w:r>
      <w:r w:rsidR="00A77EA5">
        <w:rPr>
          <w:rFonts w:ascii="Times New Roman" w:hAnsi="Times New Roman"/>
          <w:lang w:val="en-US"/>
        </w:rPr>
        <w:t xml:space="preserve">may </w:t>
      </w:r>
      <w:r w:rsidRPr="00D523C8">
        <w:rPr>
          <w:rFonts w:ascii="Times New Roman" w:hAnsi="Times New Roman"/>
          <w:lang w:val="en-US"/>
        </w:rPr>
        <w:t xml:space="preserve">seem unnecessary and can be phased out to improve overall cost efficiency. The environmental protection tax can facilitate the implementation effectiveness of the electricity price premium by providing additional incentives for electricity plants to install environmental equipment. The electricity price premium also helps achieve the goal of </w:t>
      </w:r>
      <w:r w:rsidR="002521E8">
        <w:rPr>
          <w:rFonts w:ascii="Times New Roman" w:hAnsi="Times New Roman"/>
          <w:lang w:val="en-US"/>
        </w:rPr>
        <w:t xml:space="preserve">the </w:t>
      </w:r>
      <w:r w:rsidRPr="00D523C8">
        <w:rPr>
          <w:rFonts w:ascii="Times New Roman" w:hAnsi="Times New Roman"/>
          <w:lang w:val="en-US"/>
        </w:rPr>
        <w:t>environmental protection tax</w:t>
      </w:r>
      <w:r w:rsidR="002521E8">
        <w:rPr>
          <w:rFonts w:ascii="Times New Roman" w:hAnsi="Times New Roman"/>
          <w:lang w:val="en-US"/>
        </w:rPr>
        <w:t>,</w:t>
      </w:r>
      <w:r w:rsidRPr="00D523C8">
        <w:rPr>
          <w:rFonts w:ascii="Times New Roman" w:hAnsi="Times New Roman"/>
          <w:lang w:val="en-US"/>
        </w:rPr>
        <w:t xml:space="preserve"> which is pollution abatement. As such, there is a synergistic interaction between </w:t>
      </w:r>
      <w:r w:rsidR="002521E8">
        <w:rPr>
          <w:rFonts w:ascii="Times New Roman" w:hAnsi="Times New Roman"/>
          <w:lang w:val="en-US"/>
        </w:rPr>
        <w:t xml:space="preserve">the </w:t>
      </w:r>
      <w:r w:rsidRPr="00D523C8">
        <w:rPr>
          <w:rFonts w:ascii="Times New Roman" w:hAnsi="Times New Roman"/>
          <w:lang w:val="en-US"/>
        </w:rPr>
        <w:t xml:space="preserve">environmental protection tax and </w:t>
      </w:r>
      <w:r w:rsidR="002521E8">
        <w:rPr>
          <w:rFonts w:ascii="Times New Roman" w:hAnsi="Times New Roman"/>
          <w:lang w:val="en-US"/>
        </w:rPr>
        <w:t xml:space="preserve">the </w:t>
      </w:r>
      <w:r w:rsidRPr="00D523C8">
        <w:rPr>
          <w:rFonts w:ascii="Times New Roman" w:hAnsi="Times New Roman"/>
          <w:lang w:val="en-US"/>
        </w:rPr>
        <w:t xml:space="preserve">electricity price </w:t>
      </w:r>
      <w:r w:rsidRPr="00D523C8">
        <w:rPr>
          <w:rFonts w:ascii="Times New Roman" w:hAnsi="Times New Roman"/>
          <w:lang w:val="en-US"/>
        </w:rPr>
        <w:lastRenderedPageBreak/>
        <w:t xml:space="preserve">premium for installing and operating environmental equipment. Reducing the overall on-grid prices of coal electricity could enhance the salience of the premium, facilitating the implementation effectiveness of the electricity price premium. </w:t>
      </w:r>
    </w:p>
    <w:p w14:paraId="06DDFEAB" w14:textId="2DBFE6F7" w:rsidR="00071B18" w:rsidRPr="00D523C8" w:rsidRDefault="00071B18" w:rsidP="00071B18">
      <w:pPr>
        <w:spacing w:line="360" w:lineRule="auto"/>
        <w:ind w:firstLine="720"/>
        <w:jc w:val="both"/>
        <w:rPr>
          <w:rFonts w:ascii="Times New Roman" w:hAnsi="Times New Roman"/>
          <w:lang w:val="en-US"/>
        </w:rPr>
      </w:pPr>
      <w:r w:rsidRPr="00D523C8">
        <w:rPr>
          <w:rFonts w:ascii="Times New Roman" w:hAnsi="Times New Roman"/>
          <w:lang w:val="en-US"/>
        </w:rPr>
        <w:t>There is a synergistic interaction between the environmental protection tax and the CO</w:t>
      </w:r>
      <w:r w:rsidRPr="00D523C8">
        <w:rPr>
          <w:rFonts w:ascii="Times New Roman" w:hAnsi="Times New Roman"/>
          <w:vertAlign w:val="subscript"/>
          <w:lang w:val="en-US"/>
        </w:rPr>
        <w:t>2</w:t>
      </w:r>
      <w:r w:rsidRPr="00D523C8">
        <w:rPr>
          <w:rFonts w:ascii="Times New Roman" w:hAnsi="Times New Roman"/>
          <w:lang w:val="en-US"/>
        </w:rPr>
        <w:t xml:space="preserve"> mitigation targets for local governments. The environmental protection tax provides the incentive for electricity generators to reduce air pollutant emissions, which can result in the reduction of the co-emitted CO</w:t>
      </w:r>
      <w:r w:rsidRPr="00D523C8">
        <w:rPr>
          <w:rFonts w:ascii="Times New Roman" w:hAnsi="Times New Roman"/>
          <w:vertAlign w:val="subscript"/>
          <w:lang w:val="en-US"/>
        </w:rPr>
        <w:t>2</w:t>
      </w:r>
      <w:r w:rsidRPr="00D523C8">
        <w:rPr>
          <w:rFonts w:ascii="Times New Roman" w:hAnsi="Times New Roman"/>
          <w:lang w:val="en-US"/>
        </w:rPr>
        <w:t>. On the other hand, local CO</w:t>
      </w:r>
      <w:r w:rsidRPr="00D523C8">
        <w:rPr>
          <w:rFonts w:ascii="Times New Roman" w:hAnsi="Times New Roman"/>
          <w:vertAlign w:val="subscript"/>
          <w:lang w:val="en-US"/>
        </w:rPr>
        <w:t>2</w:t>
      </w:r>
      <w:r w:rsidRPr="00D523C8">
        <w:rPr>
          <w:rFonts w:ascii="Times New Roman" w:hAnsi="Times New Roman"/>
          <w:lang w:val="en-US"/>
        </w:rPr>
        <w:t xml:space="preserve"> mitigation targets can also motivate energy-related mitigation actions, contributing to local air pollution abatement. </w:t>
      </w:r>
    </w:p>
    <w:p w14:paraId="0D7F8897" w14:textId="360C5877" w:rsidR="00071B18" w:rsidRPr="00D523C8" w:rsidRDefault="00071B18" w:rsidP="00071B18">
      <w:pPr>
        <w:spacing w:line="360" w:lineRule="auto"/>
        <w:ind w:firstLine="720"/>
        <w:jc w:val="both"/>
        <w:rPr>
          <w:rFonts w:ascii="Times New Roman" w:hAnsi="Times New Roman"/>
          <w:lang w:val="en-US"/>
        </w:rPr>
      </w:pPr>
      <w:r w:rsidRPr="00D523C8">
        <w:rPr>
          <w:rFonts w:ascii="Times New Roman" w:hAnsi="Times New Roman"/>
          <w:lang w:val="en-US"/>
        </w:rPr>
        <w:t>FIT has two precondition instruments</w:t>
      </w:r>
      <w:r w:rsidR="002521E8">
        <w:rPr>
          <w:rFonts w:ascii="Times New Roman" w:hAnsi="Times New Roman"/>
          <w:lang w:val="en-US"/>
        </w:rPr>
        <w:t>:</w:t>
      </w:r>
      <w:r w:rsidRPr="00D523C8">
        <w:rPr>
          <w:rFonts w:ascii="Times New Roman" w:hAnsi="Times New Roman"/>
          <w:lang w:val="en-US"/>
        </w:rPr>
        <w:t xml:space="preserve"> the Special Fund for Renewable Energy Development and the renewable electricity purchasing mandates for grid firms. The former</w:t>
      </w:r>
      <w:r w:rsidRPr="00D523C8">
        <w:rPr>
          <w:rFonts w:ascii="Times New Roman" w:hAnsi="Times New Roman"/>
          <w:i/>
          <w:lang w:val="en-US"/>
        </w:rPr>
        <w:t xml:space="preserve"> </w:t>
      </w:r>
      <w:r w:rsidRPr="00D523C8">
        <w:rPr>
          <w:rFonts w:ascii="Times New Roman" w:hAnsi="Times New Roman"/>
          <w:lang w:val="en-US"/>
        </w:rPr>
        <w:t>provides the financial source, while the latter addresses the demand risk. The instrument of reducing the on-grid price of coal electricity facilitates FIT by discouraging investments in new coal electricity plants. FIT can facilitate the achievement of the local CO</w:t>
      </w:r>
      <w:r w:rsidRPr="00D523C8">
        <w:rPr>
          <w:rFonts w:ascii="Times New Roman" w:hAnsi="Times New Roman"/>
          <w:vertAlign w:val="subscript"/>
          <w:lang w:val="en-US"/>
        </w:rPr>
        <w:t>2</w:t>
      </w:r>
      <w:r w:rsidRPr="00D523C8">
        <w:rPr>
          <w:rFonts w:ascii="Times New Roman" w:hAnsi="Times New Roman"/>
          <w:lang w:val="en-US"/>
        </w:rPr>
        <w:t xml:space="preserve"> mitigation targets because it can increase the local deployment of renewable energy resources with cost-sharing by the nationwide electricity consumers and taxpayers. </w:t>
      </w:r>
    </w:p>
    <w:p w14:paraId="70A7D19C" w14:textId="50C781BF" w:rsidR="00071B18" w:rsidRPr="00D523C8" w:rsidRDefault="00071B18" w:rsidP="00071B18">
      <w:pPr>
        <w:spacing w:line="360" w:lineRule="auto"/>
        <w:ind w:firstLine="720"/>
        <w:jc w:val="both"/>
        <w:rPr>
          <w:rFonts w:ascii="Times New Roman" w:hAnsi="Times New Roman"/>
          <w:lang w:val="en-US"/>
        </w:rPr>
      </w:pPr>
      <w:r w:rsidRPr="00D523C8">
        <w:rPr>
          <w:rFonts w:ascii="Times New Roman" w:hAnsi="Times New Roman"/>
          <w:lang w:val="en-US"/>
        </w:rPr>
        <w:t xml:space="preserve">Many studies have examined the interactions between ETS, FIT and TGC. The interactions depend on the detailed design of the three instruments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{"citationItems":[{"id":"ITEM-1","itemData":{"DOI":"10.1016/j.apenergy.2016.11.035","ISSN":"03062619","abstract":"The governance of renewable electricity in Europe beyond 2020 is still uncertain. The only certain aspects are that national level targets will be abolished beyond 2020, and that most renewable electricity support schemes will take the form of competitive bidding. The objective of this paper is to assess the impact of policy choices, the so-called Design Elements, related to renewable electricity support schemes on social welfare. Presently, simulation and optimisation models are commonly applied for assessing the value of policy choice. Typically however, such models do not account for bounded rationality, and true uncertainty in investment decisions, and assume perfect information. However such assumptions can hardly be expected to hold in the real-world, especially in sectors where investment decisions which happen under knowledge of past trends and imperfect foresight, are a major determinant of welfare outcomes. The approach employed in this work is fundamentally different in that firstly, there is a shift from a ‘policy’ view to a ‘design element’ based approach of renewable electricity support assessment, and secondly investment decisions are simulated using agent-based modelling. We find that the combination of design elements that provides the highest increase in social welfare is the quantity warranty, with electricity market price accounted for ex-ante, and with technology specificity. Given the current debate on the governance of renewable energy generation in the European Union beyond 2020, the present paper offers guidance to policy makers and analysts who would like a better understanding of the relationship between policy design and social welfare.","author":[{"dropping-particle":"","family":"Iychettira","given":"Kaveri K.","non-dropping-particle":"","parse-names":false,"suffix":""},{"dropping-particle":"","family":"Hakvoort","given":"Rudi A.","non-dropping-particle":"","parse-names":false,"suffix":""},{"dropping-particle":"","family":"Linares","given":"Pedro","non-dropping-particle":"","parse-names":false,"suffix":""},{"dropping-particle":"","family":"Jeu","given":"Rob","non-dropping-particle":"de","parse-names":false,"suffix":""}],"container-title":"Applied Energy","id":"ITEM-1","issue":"2017","issued":{"date-parts":[["2017"]]},"page":"228-242","publisher":"The Authors","title":"Towards a comprehensive policy for electricity from renewable energy: Designing for social welfare","type":"article-journal","volume":"187"},"uris":["http://www.mendeley.com/documents/?uuid=0f1f9a02-bb4f-4b59-bb7d-abcb0c5b73a3"]},{"id":"ITEM-2","itemData":{"DOI":"10.1016/j.renene.2005.03.015","ISBN":"0960-1481","ISSN":"09601481","abstract":"Fostering the use of renewable energies for power generation is at the heart of the EU's long term energy policy. Accordingly, the European Commission and literally all member states have set up ambitious installations targets for alternative energy sources. These aims can only be reached by recurring to support systems that help covering the cost disadvantages faced on liberalised electricity markets. Currently, a dichotomy of support models exists: Feed-in tariffs on the one side and green certificates on the other side seem promising tools to foster renewable energies. In this contribution we look closely at the concepts of both models as well as their advantages and disadvantages in terms of ecological effectiveness and economic efficiency. It becomes obvious that in the context of the liberalised power markets and the rush for the harmonisation of the instruments it will depend very much on in-detail regulations whether the installation targets will be met-regardless of the basic choice of model. © 2005 Elsevier Ltd. All rights reserved.","author":[{"dropping-particle":"","family":"Ringel","given":"Marc","non-dropping-particle":"","parse-names":false,"suffix":""}],"container-title":"Renewable Energy","id":"ITEM-2","issue":"1","issued":{"date-parts":[["2006"]]},"page":"1-17","title":"Fostering the use of renewable energies in the European Union: The race between feed-in tariffs and green certificates","type":"article-journal","volume":"31"},"uris":["http://www.mendeley.com/documents/?uuid=9d6041cb-3566-4b46-afcf-1cadc3f9dbed"]}],"mendeley":{"formattedCitation":"[20,21]","plainTextFormattedCitation":"[20,21]","previouslyFormattedCitation":"[20,21]"},"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[20,21]</w:t>
      </w:r>
      <w:r w:rsidRPr="00D523C8">
        <w:rPr>
          <w:rFonts w:ascii="Times New Roman" w:hAnsi="Times New Roman"/>
          <w:lang w:val="en-US"/>
        </w:rPr>
        <w:fldChar w:fldCharType="end"/>
      </w:r>
      <w:r w:rsidRPr="00D523C8">
        <w:rPr>
          <w:rFonts w:ascii="Times New Roman" w:hAnsi="Times New Roman"/>
          <w:lang w:val="en-US"/>
        </w:rPr>
        <w:t>. Given that the policy design of the national CO</w:t>
      </w:r>
      <w:r w:rsidRPr="00D523C8">
        <w:rPr>
          <w:rFonts w:ascii="Times New Roman" w:hAnsi="Times New Roman"/>
          <w:vertAlign w:val="subscript"/>
          <w:lang w:val="en-US"/>
        </w:rPr>
        <w:t>2</w:t>
      </w:r>
      <w:r w:rsidRPr="00D523C8">
        <w:rPr>
          <w:rFonts w:ascii="Times New Roman" w:hAnsi="Times New Roman"/>
          <w:lang w:val="en-US"/>
        </w:rPr>
        <w:t xml:space="preserve"> ETS or the TGC has not been decided by the policy</w:t>
      </w:r>
      <w:r w:rsidR="002521E8">
        <w:rPr>
          <w:rFonts w:ascii="Times New Roman" w:hAnsi="Times New Roman"/>
          <w:lang w:val="en-US"/>
        </w:rPr>
        <w:t>-</w:t>
      </w:r>
      <w:r w:rsidRPr="00D523C8">
        <w:rPr>
          <w:rFonts w:ascii="Times New Roman" w:hAnsi="Times New Roman"/>
          <w:lang w:val="en-US"/>
        </w:rPr>
        <w:t xml:space="preserve">makers, there are uncertainties </w:t>
      </w:r>
      <w:r w:rsidR="002521E8">
        <w:rPr>
          <w:rFonts w:ascii="Times New Roman" w:hAnsi="Times New Roman"/>
          <w:lang w:val="en-US"/>
        </w:rPr>
        <w:t xml:space="preserve">regarding </w:t>
      </w:r>
      <w:r w:rsidRPr="00D523C8">
        <w:rPr>
          <w:rFonts w:ascii="Times New Roman" w:hAnsi="Times New Roman"/>
          <w:lang w:val="en-US"/>
        </w:rPr>
        <w:t xml:space="preserve">the interactions </w:t>
      </w:r>
      <w:r w:rsidR="002521E8">
        <w:rPr>
          <w:rFonts w:ascii="Times New Roman" w:hAnsi="Times New Roman"/>
          <w:lang w:val="en-US"/>
        </w:rPr>
        <w:t xml:space="preserve">between </w:t>
      </w:r>
      <w:r w:rsidRPr="00D523C8">
        <w:rPr>
          <w:rFonts w:ascii="Times New Roman" w:hAnsi="Times New Roman"/>
          <w:lang w:val="en-US"/>
        </w:rPr>
        <w:t xml:space="preserve">the three policy instruments. </w:t>
      </w:r>
    </w:p>
    <w:p w14:paraId="712135D2" w14:textId="34B0F83B" w:rsidR="00071B18" w:rsidRPr="00D523C8" w:rsidRDefault="00071B18" w:rsidP="00071B18">
      <w:pPr>
        <w:spacing w:line="360" w:lineRule="auto"/>
        <w:ind w:firstLine="720"/>
        <w:jc w:val="both"/>
        <w:rPr>
          <w:rFonts w:ascii="Times New Roman" w:hAnsi="Times New Roman"/>
          <w:lang w:val="en-US"/>
        </w:rPr>
      </w:pPr>
      <w:r w:rsidRPr="00D523C8">
        <w:rPr>
          <w:rFonts w:ascii="Times New Roman" w:hAnsi="Times New Roman"/>
          <w:lang w:val="en-US"/>
        </w:rPr>
        <w:t xml:space="preserve">The literature shows a debate on the suitability of FIT or TGC as the main renewable energy support instrument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{"citationItems":[{"id":"ITEM-1","itemData":{"DOI":"10.1016/j.rser.2016.11.014","ISBN":"1364-0321","ISSN":"18790690","abstract":"Accession of Poland to the European Union led to a number of significant changes in the Polish energy sector through introduction of market mechanisms, creating competitiveness and enforcing improvement of an economic efficiency of the whole industry, including energy production from renewable energy sources. As a support system for renewable electric energy sources Poland implemented a system of Tradable Green Certificates. The mechanisms functioned properly for many years and were the source of a reasonable income for investors. In 2012 there was the first serious crisis in the renewable energy industry: certificate prices began to fall sharply and revenues of producers decreased drastically, calling into question profitability of many projects. Presented paper is an attempt to analyze this situation. The analysis covers the most important factors that led to this situation, taking into account the current legal situation and the current structure of the renewable energy sector in Poland.","author":[{"dropping-particle":"","family":"Wȩdzik","given":"Andrzej","non-dropping-particle":"","parse-names":false,"suffix":""},{"dropping-particle":"","family":"Siewierski","given":"Tomasz","non-dropping-particle":"","parse-names":false,"suffix":""},{"dropping-particle":"","family":"Szypowski","given":"Michał","non-dropping-particle":"","parse-names":false,"suffix":""}],"container-title":"Renewable and Sustainable Energy Reviews","id":"ITEM-1","issue":"November 2016","issued":{"date-parts":[["2017"]]},"page":"490-503","title":"Green certificates market in Poland – The sources of crisis","type":"article-journal","volume":"75"},"uris":["http://www.mendeley.com/documents/?uuid=d2e6df3e-0785-4d01-977d-85825088876c"]}],"mendeley":{"formattedCitation":"[22]","plainTextFormattedCitation":"[22]","previouslyFormattedCitation":"[22]"},"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[22]</w:t>
      </w:r>
      <w:r w:rsidRPr="00D523C8">
        <w:rPr>
          <w:rFonts w:ascii="Times New Roman" w:hAnsi="Times New Roman"/>
          <w:lang w:val="en-US"/>
        </w:rPr>
        <w:fldChar w:fldCharType="end"/>
      </w:r>
      <w:r w:rsidRPr="00D523C8">
        <w:rPr>
          <w:rFonts w:ascii="Times New Roman" w:hAnsi="Times New Roman"/>
          <w:lang w:val="en-US"/>
        </w:rPr>
        <w:t>. In practice, FIT is more prevalent across countries. FIT can promote technologies with different costs and maturity levels,</w:t>
      </w:r>
      <w:r w:rsidRPr="00D523C8" w:rsidDel="00E832D1">
        <w:rPr>
          <w:rFonts w:ascii="Times New Roman" w:hAnsi="Times New Roman"/>
          <w:lang w:val="en-US"/>
        </w:rPr>
        <w:t xml:space="preserve"> </w:t>
      </w:r>
      <w:r w:rsidRPr="00D523C8">
        <w:rPr>
          <w:rFonts w:ascii="Times New Roman" w:hAnsi="Times New Roman"/>
          <w:lang w:val="en-US"/>
        </w:rPr>
        <w:t xml:space="preserve">whereas the lowest cost and most mature renewable energy technologies tend to be economically competitive in the TGC market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{"citationItems":[{"id":"ITEM-1","itemData":{"DOI":"10.1016/j.apenergy.2017.07.118","ISSN":"03062619","abstract":"The Feed-in Tariff (FIT) has been successfully used to promote the development of renewable energy; nevertheless, it may cause financial burden on the governments at the same time. Compared with FIT, Renewable Portfolio Standards (RPS) and the Renewable Energy Certificate (REC) trading have been considered to reduce the government's expenditure caused by the subsidization. To examine the effectiveness of RPS and REC trading, the development of renewable energy and the environmental and economic benefits under different policies have been quantitatively investigated by using a multi-region power market model and China has been chosen as a case study. The obtained results show that: (i) REC trading can efficiently reduce the government's expenditure on subsidies for the development of renewable energy; (ii) Compared to FIT, RPS and REC trading will reduce the power sectors’ profit; and (iii) RPS and REC trading may not be enough to achieve the target on renewable energy especially when the capital cost is high, therefore, RPS, REC trade and FIT subsidy should be implemented as complementary policies, not independent.","author":[{"dropping-particle":"","family":"Zhang","given":"Qi","non-dropping-particle":"","parse-names":false,"suffix":""},{"dropping-particle":"","family":"Wang","given":"Ge","non-dropping-particle":"","parse-names":false,"suffix":""},{"dropping-particle":"","family":"Li","given":"Yan","non-dropping-particle":"","parse-names":false,"suffix":""},{"dropping-particle":"","family":"Li","given":"Hailong","non-dropping-particle":"","parse-names":false,"suffix":""},{"dropping-particle":"","family":"McLellan","given":"Benjamin","non-dropping-particle":"","parse-names":false,"suffix":""},{"dropping-particle":"","family":"Chen","given":"Siyuan","non-dropping-particle":"","parse-names":false,"suffix":""}],"container-title":"Applied Energy","id":"ITEM-1","issue":"July 2017","issued":{"date-parts":[["2018"]]},"page":"426-435","title":"Substitution effect of renewable portfolio standards and renewable energy certificate trading for feed-in tariff","type":"article-journal","volume":"227"},"uris":["http://www.mendeley.com/documents/?uuid=35c21857-0b76-4d00-a79b-0349edf6efbb"]},{"id":"ITEM-2","itemData":{"DOI":"10.1007/s11077-013-9189-7","ISSN":"00322687","abstract":"The aim of this paper is to propose the main elements of a theoretical and methodological framework for the assessment of the success of complex policy mixes, to highlight the conflicts between individual instruments and other elements within those mixes and to propose policy recommendations in order to mitigate them. Some criteria are defined, and different levels of analysis are considered. The challenges in evaluating policy packages are illustrated with the case of the coexistence between renewable energy support and emissions trading schemes. It is shown that policy mixes inherently lead to interactions between the different instruments, either in the form of conflicts or synergies. Conflicts are horizontal (i.e., between different types of instruments) and/or vertical (i.e., between dif- ferent administrative levels). It is suggested that mitigating those conflicts could require administrative coordination. Relevant coordination could take place between different administrative levels and relate to different instruments or different design elements within similar instruments. However, given the trade-offs between different criteria, the role of coordination is necessarily limited.","author":[{"dropping-particle":"","family":"Río","given":"Pablo","non-dropping-particle":"del","parse-names":false,"suffix":""}],"container-title":"Policy Sciences","id":"ITEM-2","issue":"3","issued":{"date-parts":[["2014"]]},"note":"very important framework for evaluating policy mix","page":"267-287","title":"On evaluating success in complex policy mixes: The case of renewable energy support schemes","type":"article-journal","volume":"47"},"uris":["http://www.mendeley.com/documents/?uuid=79b35bd9-2216-4797-a8fd-d76362a6b39f"]}],"mendeley":{"formattedCitation":"[23,24]","plainTextFormattedCitation":"[23,24]","previouslyFormattedCitation":"[23,24]"},"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[23,24]</w:t>
      </w:r>
      <w:r w:rsidRPr="00D523C8">
        <w:rPr>
          <w:rFonts w:ascii="Times New Roman" w:hAnsi="Times New Roman"/>
          <w:lang w:val="en-US"/>
        </w:rPr>
        <w:fldChar w:fldCharType="end"/>
      </w:r>
      <w:r w:rsidRPr="00D523C8">
        <w:rPr>
          <w:rFonts w:ascii="Times New Roman" w:hAnsi="Times New Roman"/>
          <w:lang w:val="en-US"/>
        </w:rPr>
        <w:t>.</w:t>
      </w:r>
      <w:r w:rsidR="002521E8">
        <w:rPr>
          <w:rFonts w:ascii="Times New Roman" w:hAnsi="Times New Roman"/>
          <w:lang w:val="en-US"/>
        </w:rPr>
        <w:t xml:space="preserve"> A</w:t>
      </w:r>
      <w:r w:rsidRPr="00D523C8">
        <w:rPr>
          <w:rFonts w:ascii="Times New Roman" w:hAnsi="Times New Roman"/>
          <w:lang w:val="en-US"/>
        </w:rPr>
        <w:t xml:space="preserve"> TGC combined with </w:t>
      </w:r>
      <w:r w:rsidR="002521E8">
        <w:rPr>
          <w:rFonts w:ascii="Times New Roman" w:hAnsi="Times New Roman"/>
          <w:lang w:val="en-US"/>
        </w:rPr>
        <w:t xml:space="preserve">a </w:t>
      </w:r>
      <w:r w:rsidR="00D90522">
        <w:rPr>
          <w:rFonts w:ascii="Times New Roman" w:hAnsi="Times New Roman"/>
          <w:lang w:val="en-US"/>
        </w:rPr>
        <w:t>renewable portfolio standard (</w:t>
      </w:r>
      <w:r w:rsidRPr="00D523C8">
        <w:rPr>
          <w:rFonts w:ascii="Times New Roman" w:hAnsi="Times New Roman"/>
          <w:lang w:val="en-US"/>
        </w:rPr>
        <w:t>RPS</w:t>
      </w:r>
      <w:r w:rsidR="00D90522">
        <w:rPr>
          <w:rFonts w:ascii="Times New Roman" w:hAnsi="Times New Roman"/>
          <w:lang w:val="en-US"/>
        </w:rPr>
        <w:t>)</w:t>
      </w:r>
      <w:r w:rsidRPr="00D523C8">
        <w:rPr>
          <w:rFonts w:ascii="Times New Roman" w:hAnsi="Times New Roman"/>
          <w:lang w:val="en-US"/>
        </w:rPr>
        <w:t xml:space="preserve"> has the advantage of lower costs and government interventions, but there are problems of higher market risks for electricity generators, inferior effects on technology innovation and a higher cost burden for electricity consumers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{"citationItems":[{"id":"ITEM-1","itemData":{"DOI":"10.1016/j.rser.2014.08.011","ISBN":"1364-0321","ISSN":"13640321","PMID":"46","abstract":"In order to promote the development of renewable energy power generation, many countries have issued corresponding policies. Meanwhile, some green-trading mechanisms have been implemented in power industry. And this paper has mainly presented a review on promoting share of renewable energy by green-trading mechanisms in power system with a focus on promotion effects of three mechanisms: feed-in tariff, renewable portfolio standard and emission trading scheme. Apart from a review, summaries, comparisons, and an outlook for future study are also presented. Our review suggests that feed-in tariff and renewable portfolio standard can effectively increase the share of renewable energy power and lead to renewable resource diversity. In addition, emission trading also provides stimulus for development of renewable energy besides mitigation of carbon emission. © 2014 Elsevier Ltd.","author":[{"dropping-particle":"","family":"Wang","given":"Tan","non-dropping-particle":"","parse-names":false,"suffix":""},{"dropping-particle":"","family":"Gong","given":"Yu","non-dropping-particle":"","parse-names":false,"suffix":""},{"dropping-particle":"","family":"Jiang","given":"Chuanwen","non-dropping-particle":"","parse-names":false,"suffix":""}],"container-title":"Renewable and Sustainable Energy Reviews","id":"ITEM-1","issued":{"date-parts":[["2014"]]},"note":"Very important","page":"923-929","publisher":"Elsevier","title":"A review on promoting share of renewable energy by green-trading mechanisms in power system","type":"article-journal","volume":"40"},"uris":["http://www.mendeley.com/documents/?uuid=12380650-8787-44c8-96c7-11e8690c4441"]},{"id":"ITEM-2","itemData":{"DOI":"10.1016/j.apenergy.2014.06.046","ISBN":"0306-2619","ISSN":"03062619","PMID":"46","abstract":"The present analysis illustrates how energy system models can play an important role in the long-term evaluation of support schemes for renewable electricity. Methodological approaches for the explicit representation of such instruments are presented both for price-based and quantity-based systems. In the subsequent scenario comparison, the current German feed-in tariffs (FIT) are contrasted with several alternative support mechanisms. With the current scheme, renewable generation is increased to almost 46% of gross electricity consumption in 2020 and 54% in 2030 associated with a rise in the surcharge on consumer electricity prices of 40% between 2011 and 2020. By switching to a technology-neutral certificate system which promotes only the most cost-efficient generation and adheres to the political targets renewable generation costs could be lowered by more than €200 billion between 2013 and 2030. At the same time, it has to be kept in mind that technology-neutral systems tend to cause a higher cost burden for electricity consumers. The greatest cost reduction can be achieved under a technology-specific quantity-based system with a decrease in cumulated FIT differential costs of €68 billion and of €416 billion in total energy system costs between 2013 and 2030 compared to the current system. © 2014 Elsevier Ltd.","author":[{"dropping-particle":"","family":"Fais","given":"Birgit","non-dropping-particle":"","parse-names":false,"suffix":""},{"dropping-particle":"","family":"Blesl","given":"Markus","non-dropping-particle":"","parse-names":false,"suffix":""},{"dropping-particle":"","family":"Fahl","given":"Ulrich","non-dropping-particle":"","parse-names":false,"suffix":""},{"dropping-particle":"","family":"Voß","given":"Alfred","non-dropping-particle":"","parse-names":false,"suffix":""}],"container-title":"Applied Energy","id":"ITEM-2","issued":{"date-parts":[["2014"]]},"page":"479-489","publisher":"Elsevier Ltd","title":"Comparing different support schemes for renewable electricity in the scope of an energy systems analysis","type":"article-journal","volume":"131"},"uris":["http://www.mendeley.com/documents/?uuid=654cff87-afde-435f-9f5e-19ed80b43143"]},{"id":"ITEM-3","itemData":{"DOI":"10.1016/j.renene.2017.02.016","ISBN":"0960-1481","ISSN":"18790682","abstract":"Following the dominant firm-competitive fringe model, this paper analyses the response of Japan's nonrenewable electricity utilities to the renewable portfolio standards (RPS) and feed-in tariff (FIT) scheme. The output of electricity from renewable energy sources (RES-E) is primarily correlated with the magnitude of the RPS requirement and the fixed tariff. Nonrenewable firms suffer a reduction in revenue due to increased RES-E production under both schemes. The RPS requirement has direct impact on the renewable energy certificate (NEC) price. If the incumbent nonrenewable electricity utilities gain market power in both electricity and NEC markets, they can suppress the RPS quota to preserve their vested benefits. In the FIT scheme, the above-market RES-E generation cost is passed on to consumers via a surcharge. Since grid-connected RES-E accelerated rapidly under FIT, nonrenewable electricity utilities would face a substantial increase in costs to maintain network reliability due to the intermittent and variable nature of RES-E technologies. The Japanese government should therefore take measures to ensure variable renewable power occupies a higher share of the electricity system, and to do so in a cost-effective manner.","author":[{"dropping-particle":"","family":"Dong","given":"Yanli","non-dropping-particle":"","parse-names":false,"suffix":""},{"dropping-particle":"","family":"Shimada","given":"Koji","non-dropping-particle":"","parse-names":false,"suffix":""}],"container-title":"Renewable Energy","id":"ITEM-3","issued":{"date-parts":[["2017"]]},"page":"590-596","publisher":"Elsevier Ltd","title":"Evolution from the renewable portfolio standards to feed-in tariff for the deployment of renewable energy in Japan","type":"article-journal","volume":"107"},"uris":["http://www.mendeley.com/documents/?uuid=5e2f6196-f3bf-4a06-9fc8-99633f13301c"]},{"id":"ITEM-4","itemData":{"DOI":"10.1016/j.rser.2014.08.013","ISBN":"1364-0321","ISSN":"13640321","abstract":"Considering that the major part of greenhouse gases is carbon dioxide, there is a global concern aimed at reducing carbon emissions. In addition, major consumer countries are looking for alternative sources of energy to avoid the impact of higher fossil fuel prices and political instability in the major energy supplying countries. In this regard, different policies could be applied to reduce carbon emissions, such as enhancing renewable energy deployment and encouraging technological innovation and the creation of green jobs. This study compares three main support mechanisms employed by governments to finance renewable energy development programs: feed-in-tariffs, tax incentives, and tradable green certificates. Considering that many of the promising technologies to deploy renewable energy require investment in small-scale energy production systems, these mechanisms could be used to enhance renewable energy development at the desired scale. Employing a carbon emission tax or emission trading mechanism could be considered ideal policies to mitigate emissions at the lowest cost. The comparison of feed-in-tariffs and renewable portfolio standard policies showed that the former is good when a policy to develop renewable energy sources with a low level of risk for investors is considered. However, the latter is an appropriate policy when a market view policy is applied by the government. Finally, considering technological progress and the cost reduction for power generation by renewable energy sources, we suggest that support mechanism policies should be reconsidered from the financial point of view. © 2014 Elsevier Ltd.","author":[{"dropping-particle":"","family":"Abolhosseini","given":"Shahrouz","non-dropping-particle":"","parse-names":false,"suffix":""},{"dropping-particle":"","family":"Heshmati","given":"Almas","non-dropping-particle":"","parse-names":false,"suffix":""}],"container-title":"Renewable and Sustainable Energy Reviews","id":"ITEM-4","issued":{"date-parts":[["2014"]]},"page":"876-885","publisher":"Elsevier","title":"The main support mechanisms to finance renewable energy development","type":"article-journal","volume":"40"},"uris":["http://www.mendeley.com/documents/?uuid=6bfc0b9f-5767-4be9-9d3e-434fd6bbc5a6"]}],"mendeley":{"formattedCitation":"[25–28]","plainTextFormattedCitation":"[25–28]","previouslyFormattedCitation":"[25–28]"},"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[25–28]</w:t>
      </w:r>
      <w:r w:rsidRPr="00D523C8">
        <w:rPr>
          <w:rFonts w:ascii="Times New Roman" w:hAnsi="Times New Roman"/>
          <w:lang w:val="en-US"/>
        </w:rPr>
        <w:fldChar w:fldCharType="end"/>
      </w:r>
      <w:r w:rsidRPr="00D523C8">
        <w:rPr>
          <w:rFonts w:ascii="Times New Roman" w:hAnsi="Times New Roman"/>
          <w:lang w:val="en-US"/>
        </w:rPr>
        <w:t xml:space="preserve">. </w:t>
      </w:r>
    </w:p>
    <w:p w14:paraId="221AA5B6" w14:textId="42514EA4" w:rsidR="00071B18" w:rsidRPr="00D523C8" w:rsidRDefault="00071B18" w:rsidP="00071B18">
      <w:pPr>
        <w:spacing w:line="360" w:lineRule="auto"/>
        <w:ind w:firstLine="720"/>
        <w:jc w:val="both"/>
        <w:rPr>
          <w:rFonts w:ascii="Times New Roman" w:hAnsi="Times New Roman"/>
          <w:lang w:val="en-US"/>
        </w:rPr>
      </w:pPr>
      <w:r w:rsidRPr="00D523C8">
        <w:rPr>
          <w:rFonts w:ascii="Times New Roman" w:hAnsi="Times New Roman"/>
          <w:lang w:val="en-US"/>
        </w:rPr>
        <w:t xml:space="preserve">In China, </w:t>
      </w:r>
      <w:r w:rsidR="002521E8">
        <w:rPr>
          <w:rFonts w:ascii="Times New Roman" w:hAnsi="Times New Roman"/>
          <w:lang w:val="en-US"/>
        </w:rPr>
        <w:t xml:space="preserve">the </w:t>
      </w:r>
      <w:r w:rsidRPr="00D523C8">
        <w:rPr>
          <w:rFonts w:ascii="Times New Roman" w:hAnsi="Times New Roman"/>
          <w:lang w:val="en-US"/>
        </w:rPr>
        <w:t xml:space="preserve">TGC is at a trial implementation stage. A potential contradiction between FIT and TGC exists when the TGC is formally implemented </w:t>
      </w:r>
      <w:r w:rsidR="002521E8" w:rsidRPr="00D523C8">
        <w:rPr>
          <w:rFonts w:ascii="Times New Roman" w:hAnsi="Times New Roman"/>
          <w:lang w:val="en-US"/>
        </w:rPr>
        <w:t xml:space="preserve">in combination with RPS </w:t>
      </w:r>
      <w:r w:rsidRPr="00D523C8">
        <w:rPr>
          <w:rFonts w:ascii="Times New Roman" w:hAnsi="Times New Roman"/>
          <w:lang w:val="en-US"/>
        </w:rPr>
        <w:t xml:space="preserve">in future. If FIT and </w:t>
      </w:r>
      <w:r w:rsidR="002521E8">
        <w:rPr>
          <w:rFonts w:ascii="Times New Roman" w:hAnsi="Times New Roman"/>
          <w:lang w:val="en-US"/>
        </w:rPr>
        <w:t xml:space="preserve">the </w:t>
      </w:r>
      <w:r w:rsidRPr="00D523C8">
        <w:rPr>
          <w:rFonts w:ascii="Times New Roman" w:hAnsi="Times New Roman"/>
          <w:lang w:val="en-US"/>
        </w:rPr>
        <w:t>TGC target all renewable energy technologies together, FIT may undermine the incentive of the TGC instrument. Given the flaws of</w:t>
      </w:r>
      <w:r w:rsidR="007440F0">
        <w:rPr>
          <w:rFonts w:ascii="Times New Roman" w:hAnsi="Times New Roman"/>
          <w:lang w:val="en-US"/>
        </w:rPr>
        <w:t xml:space="preserve"> the</w:t>
      </w:r>
      <w:r w:rsidRPr="00D523C8">
        <w:rPr>
          <w:rFonts w:ascii="Times New Roman" w:hAnsi="Times New Roman"/>
          <w:lang w:val="en-US"/>
        </w:rPr>
        <w:t xml:space="preserve"> TGC and the limited market competition in the electricity sector, </w:t>
      </w:r>
      <w:r w:rsidR="00346E73">
        <w:rPr>
          <w:rFonts w:ascii="Times New Roman" w:hAnsi="Times New Roman"/>
          <w:lang w:val="en-US"/>
        </w:rPr>
        <w:t xml:space="preserve">the </w:t>
      </w:r>
      <w:r w:rsidRPr="00D523C8">
        <w:rPr>
          <w:rFonts w:ascii="Times New Roman" w:hAnsi="Times New Roman"/>
          <w:lang w:val="en-US"/>
        </w:rPr>
        <w:t xml:space="preserve">TGC is unlikely to entirely replace FIT any time soon in China. One option is to use FIT as the dominant instrument, especially for solar PV or other </w:t>
      </w:r>
      <w:r w:rsidRPr="00D523C8">
        <w:rPr>
          <w:rFonts w:ascii="Times New Roman" w:hAnsi="Times New Roman"/>
          <w:lang w:val="en-US"/>
        </w:rPr>
        <w:lastRenderedPageBreak/>
        <w:t>expensive renewable technologies, while</w:t>
      </w:r>
      <w:r w:rsidR="00346E73">
        <w:rPr>
          <w:rFonts w:ascii="Times New Roman" w:hAnsi="Times New Roman"/>
          <w:lang w:val="en-US"/>
        </w:rPr>
        <w:t xml:space="preserve"> the</w:t>
      </w:r>
      <w:r w:rsidRPr="00D523C8">
        <w:rPr>
          <w:rFonts w:ascii="Times New Roman" w:hAnsi="Times New Roman"/>
          <w:lang w:val="en-US"/>
        </w:rPr>
        <w:t xml:space="preserve"> TGC can be used for some mature and low-cost technologies, such as wind or hydroelectricity. </w:t>
      </w:r>
    </w:p>
    <w:p w14:paraId="73540AA9" w14:textId="13FA82DF" w:rsidR="00071B18" w:rsidRPr="00D523C8" w:rsidRDefault="00071B18" w:rsidP="00071B18">
      <w:pPr>
        <w:spacing w:line="360" w:lineRule="auto"/>
        <w:ind w:firstLine="720"/>
        <w:jc w:val="both"/>
        <w:rPr>
          <w:rFonts w:ascii="Times New Roman" w:hAnsi="Times New Roman"/>
          <w:lang w:val="en-US"/>
        </w:rPr>
      </w:pPr>
      <w:r w:rsidRPr="00D523C8">
        <w:rPr>
          <w:rFonts w:ascii="Times New Roman" w:hAnsi="Times New Roman"/>
          <w:lang w:val="en-US"/>
        </w:rPr>
        <w:t>ETS sets a price for CO</w:t>
      </w:r>
      <w:r w:rsidRPr="00D523C8">
        <w:rPr>
          <w:rFonts w:ascii="Times New Roman" w:hAnsi="Times New Roman"/>
          <w:vertAlign w:val="subscript"/>
          <w:lang w:val="en-US"/>
        </w:rPr>
        <w:t>2</w:t>
      </w:r>
      <w:r w:rsidRPr="00D523C8">
        <w:rPr>
          <w:rFonts w:ascii="Times New Roman" w:hAnsi="Times New Roman"/>
          <w:lang w:val="en-US"/>
        </w:rPr>
        <w:t xml:space="preserve"> emissions, indicating an additional cost for coal-fired electricity plants, giving them the incentives to adopt low-carbon technologies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{"citationItems":[{"id":"ITEM-1","itemData":{"DOI":"10.1016/j.egypro.2011.02.579","ISSN":"18766102","abstract":"The Energy Sector is facing its biggest upheaval. Governments around the globe are discussing the best way to combat climate change. Different mechanisms and policies have been introduced to reach a global carbon dioxide reduction of up to 80% by 2050, based on 1990 emission levels. The difficulties in applying different instruments at the same time are often not considered in the discussion of different instruments. However to achieve an effective and efficient reduction of emissions, a look at the whole bundle of instruments and their interrelationship is necessary when future regulations are discussed. This paper will critically assess the effects and the interrelationship of ETS, EPS and feed in tariffs from a European perspective. © 2010 Elsevier Ltd. © 2011 Published by Elsevier Ltd.","author":[{"dropping-particle":"","family":"Radgen","given":"Peter","non-dropping-particle":"","parse-names":false,"suffix":""},{"dropping-particle":"","family":"Butterfield","given":"Jane","non-dropping-particle":"","parse-names":false,"suffix":""},{"dropping-particle":"","family":"Rosenow","given":"Jürgen","non-dropping-particle":"","parse-names":false,"suffix":""}],"container-title":"Energy Procedia","id":"ITEM-1","issued":{"date-parts":[["2011"]]},"page":"5814-5821","publisher":"Elsevier","title":"EPS, ETS, Renewable Obligations and Feed in Tariffs - Critical reflections on the compatibility of different instruments to combat climate change","type":"article-journal","volume":"4"},"uris":["http://www.mendeley.com/documents/?uuid=01862b3c-e5ef-4ab4-a92e-9a0665a143dd"]},{"id":"ITEM-2","itemData":{"DOI":"10.1016/j.rser.2014.08.011","ISBN":"1364-0321","ISSN":"13640321","PMID":"46","abstract":"In order to promote the development of renewable energy power generation, many countries have issued corresponding policies. Meanwhile, some green-trading mechanisms have been implemented in power industry. And this paper has mainly presented a review on promoting share of renewable energy by green-trading mechanisms in power system with a focus on promotion effects of three mechanisms: feed-in tariff, renewable portfolio standard and emission trading scheme. Apart from a review, summaries, comparisons, and an outlook for future study are also presented. Our review suggests that feed-in tariff and renewable portfolio standard can effectively increase the share of renewable energy power and lead to renewable resource diversity. In addition, emission trading also provides stimulus for development of renewable energy besides mitigation of carbon emission. © 2014 Elsevier Ltd.","author":[{"dropping-particle":"","family":"Wang","given":"Tan","non-dropping-particle":"","parse-names":false,"suffix":""},{"dropping-particle":"","family":"Gong","given":"Yu","non-dropping-particle":"","parse-names":false,"suffix":""},{"dropping-particle":"","family":"Jiang","given":"Chuanwen","non-dropping-particle":"","parse-names":false,"suffix":""}],"container-title":"Renewable and Sustainable Energy Reviews","id":"ITEM-2","issued":{"date-parts":[["2014"]]},"note":"Very important","page":"923-929","publisher":"Elsevier","title":"A review on promoting share of renewable energy by green-trading mechanisms in power system","type":"article-journal","volume":"40"},"uris":["http://www.mendeley.com/documents/?uuid=12380650-8787-44c8-96c7-11e8690c4441"]}],"mendeley":{"formattedCitation":"[25,29]","plainTextFormattedCitation":"[25,29]","previouslyFormattedCitation":"[25,29]"},"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[25,29]</w:t>
      </w:r>
      <w:r w:rsidRPr="00D523C8">
        <w:rPr>
          <w:rFonts w:ascii="Times New Roman" w:hAnsi="Times New Roman"/>
          <w:lang w:val="en-US"/>
        </w:rPr>
        <w:fldChar w:fldCharType="end"/>
      </w:r>
      <w:r w:rsidRPr="00D523C8">
        <w:rPr>
          <w:rFonts w:ascii="Times New Roman" w:hAnsi="Times New Roman"/>
          <w:lang w:val="en-US"/>
        </w:rPr>
        <w:t xml:space="preserve">. However, ETS alone cannot provide sufficient incentives for technology innovation, and instruments such as FIT or TGC are needed to encourage the diffusion and innovation of renewable energy technologies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{"citationItems":[{"id":"ITEM-1","itemData":{"DOI":"10.1016/j.rser.2017.01.122","ISSN":"18790690","abstract":"The European Climate and Energy mix of targets and policies has been criticised by many economists. In particular, it is often argued that the renewable energy targets do not make economic sense, because they represent an expensive option to reduce CO2 emissions within a cap-and-trade scheme such as the European Union Emissions Trading Scheme (EU ETS). In addition, it has also been claimed that support for renewable electricity deployment negatively interacts with the EU ETS, having a dampening effect on the CO2 price, which favours the dirtiest technologies and is detrimental for the greener ones. In this article we argue that this mainstream economic view is short-sighted and that a multidisciplinary economic analysis of the climate and energy policy mix is required. Mainstream economic analysis is based on a narrow approach for the assessment of instrument combinations and neglects relevant insights from several economic disciplines, including innovation economics and political economy approaches. In reality, economic theory supports the combination of an ETS and renewable energy targets. The existence of different policy goals and market failures, the demand-pull influence of renewable energy policies on innovation, a political economy approach and the different risk exposure of renewable energy technologies call for a policy mix. Although policy combinations are not a panacea and bring problems on their own, the aforementioned negative interaction between renewable energy deployment and the carbon price in the EU ETS can be mitigated through appropriate coordination and\\or instrument choice and design.","author":[{"dropping-particle":"","family":"Río","given":"Pablo","non-dropping-particle":"del","parse-names":false,"suffix":""}],"container-title":"Renewable and Sustainable Energy Reviews","id":"ITEM-1","issue":"March","issued":{"date-parts":[["2017"]]},"page":"824-834","publisher":"Elsevier Ltd","title":"Why does the combination of the European Union emissions trading scheme and a renewable energy target makes economic sense?","type":"article-journal","volume":"74"},"uris":["http://www.mendeley.com/documents/?uuid=9160ae88-46d1-41d2-a32a-34c1c0b19fb2"]},{"id":"ITEM-2","itemData":{"DOI":"10.1007/s11077-013-9189-7","ISSN":"00322687","abstract":"The aim of this paper is to propose the main elements of a theoretical and methodological framework for the assessment of the success of complex policy mixes, to highlight the conflicts between individual instruments and other elements within those mixes and to propose policy recommendations in order to mitigate them. Some criteria are defined, and different levels of analysis are considered. The challenges in evaluating policy packages are illustrated with the case of the coexistence between renewable energy support and emissions trading schemes. It is shown that policy mixes inherently lead to interactions between the different instruments, either in the form of conflicts or synergies. Conflicts are horizontal (i.e., between different types of instruments) and/or vertical (i.e., between dif- ferent administrative levels). It is suggested that mitigating those conflicts could require administrative coordination. Relevant coordination could take place between different administrative levels and relate to different instruments or different design elements within similar instruments. However, given the trade-offs between different criteria, the role of coordination is necessarily limited.","author":[{"dropping-particle":"","family":"Río","given":"Pablo","non-dropping-particle":"del","parse-names":false,"suffix":""}],"container-title":"Policy Sciences","id":"ITEM-2","issue":"3","issued":{"date-parts":[["2014"]]},"note":"very important framework for evaluating policy mix","page":"267-287","title":"On evaluating success in complex policy mixes: The case of renewable energy support schemes","type":"article-journal","volume":"47"},"uris":["http://www.mendeley.com/documents/?uuid=79b35bd9-2216-4797-a8fd-d76362a6b39f"]},{"id":"ITEM-3","itemData":{"DOI":"10.1007/s10018-018-0229-6","ISBN":"0123456789","ISSN":"1432-847X","author":[{"dropping-particle":"","family":"Lehmann","given":"Paul","non-dropping-particle":"","parse-names":false,"suffix":""},{"dropping-particle":"","family":"Sijm","given":"Jos","non-dropping-particle":"","parse-names":false,"suffix":""},{"dropping-particle":"","family":"Gawel","given":"Erik","non-dropping-particle":"","parse-names":false,"suffix":""},{"dropping-particle":"","family":"Strunz","given":"Sebastian","non-dropping-particle":"","parse-names":false,"suffix":""},{"dropping-particle":"","family":"Chewpreecha","given":"Unnada","non-dropping-particle":"","parse-names":false,"suffix":""},{"dropping-particle":"","family":"Mercure","given":"Jean-Francois","non-dropping-particle":"","parse-names":false,"suffix":""},{"dropping-particle":"","family":"Pollitt","given":"Hector","non-dropping-particle":"","parse-names":false,"suffix":""}],"container-title":"Environmental Economics and Policy Studies","id":"ITEM-3","issue":"0123456789","issued":{"date-parts":[["2018"]]},"page":"pp29","publisher":"Springer Japan","title":"Addressing multiple externalities from electricity generation: a case for EU renewable energy policy beyond 2020?","type":"article-journal"},"uris":["http://www.mendeley.com/documents/?uuid=619a301e-fd03-401b-a7a3-eb3da5ed47e2"]}],"mendeley":{"formattedCitation":"[24,30,31]","plainTextFormattedCitation":"[24,30,31]","previouslyFormattedCitation":"[24,30,31]"},"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[24,30,31]</w:t>
      </w:r>
      <w:r w:rsidRPr="00D523C8">
        <w:rPr>
          <w:rFonts w:ascii="Times New Roman" w:hAnsi="Times New Roman"/>
          <w:lang w:val="en-US"/>
        </w:rPr>
        <w:fldChar w:fldCharType="end"/>
      </w:r>
      <w:r w:rsidRPr="00D523C8">
        <w:rPr>
          <w:rFonts w:ascii="Times New Roman" w:hAnsi="Times New Roman"/>
          <w:lang w:val="en-US"/>
        </w:rPr>
        <w:t>. The electricity-pricing mechanism is important for understanding the interaction between CO</w:t>
      </w:r>
      <w:r w:rsidRPr="00D523C8">
        <w:rPr>
          <w:rFonts w:ascii="Times New Roman" w:hAnsi="Times New Roman"/>
          <w:vertAlign w:val="subscript"/>
          <w:lang w:val="en-US"/>
        </w:rPr>
        <w:t>2</w:t>
      </w:r>
      <w:r w:rsidRPr="00D523C8">
        <w:rPr>
          <w:rFonts w:ascii="Times New Roman" w:hAnsi="Times New Roman"/>
          <w:lang w:val="en-US"/>
        </w:rPr>
        <w:t xml:space="preserve"> ETS and FIT (or TGC). In China, the government currently regulates the on-grid electricity price, the transmission price and the retail price separately</w:t>
      </w:r>
      <w:r w:rsidRPr="00632159">
        <w:rPr>
          <w:rStyle w:val="FootnoteReference"/>
        </w:rPr>
        <w:footnoteReference w:id="9"/>
      </w:r>
      <w:r w:rsidR="00346E73">
        <w:rPr>
          <w:rFonts w:ascii="Times New Roman" w:hAnsi="Times New Roman"/>
          <w:lang w:val="en-US"/>
        </w:rPr>
        <w:t>.</w:t>
      </w:r>
      <w:r w:rsidRPr="00D523C8">
        <w:rPr>
          <w:rFonts w:ascii="Times New Roman" w:hAnsi="Times New Roman"/>
          <w:lang w:val="en-US"/>
        </w:rPr>
        <w:t xml:space="preserve"> Given the FIT in implementation and the regulated electricity prices, the additional costs on CO</w:t>
      </w:r>
      <w:r w:rsidRPr="00D523C8">
        <w:rPr>
          <w:rFonts w:ascii="Times New Roman" w:hAnsi="Times New Roman"/>
          <w:vertAlign w:val="subscript"/>
          <w:lang w:val="en-US"/>
        </w:rPr>
        <w:t>2</w:t>
      </w:r>
      <w:r w:rsidRPr="00D523C8">
        <w:rPr>
          <w:rFonts w:ascii="Times New Roman" w:hAnsi="Times New Roman"/>
          <w:lang w:val="en-US"/>
        </w:rPr>
        <w:t xml:space="preserve"> emissions brought by ETS will not be passed on to the on-grid price of coal electricity, leading the coal electricity generators to bear the emission abatement costs and bringing extra incentives for investment in renewable energy technologies. When the national CO</w:t>
      </w:r>
      <w:r w:rsidRPr="00D523C8">
        <w:rPr>
          <w:rFonts w:ascii="Times New Roman" w:hAnsi="Times New Roman"/>
          <w:vertAlign w:val="subscript"/>
          <w:lang w:val="en-US"/>
        </w:rPr>
        <w:t>2</w:t>
      </w:r>
      <w:r w:rsidRPr="00D523C8">
        <w:rPr>
          <w:rFonts w:ascii="Times New Roman" w:hAnsi="Times New Roman"/>
          <w:lang w:val="en-US"/>
        </w:rPr>
        <w:t xml:space="preserve"> ETS starts to operate in China and the CO</w:t>
      </w:r>
      <w:r w:rsidRPr="00D523C8">
        <w:rPr>
          <w:rFonts w:ascii="Times New Roman" w:hAnsi="Times New Roman"/>
          <w:vertAlign w:val="subscript"/>
          <w:lang w:val="en-US"/>
        </w:rPr>
        <w:t>2</w:t>
      </w:r>
      <w:r w:rsidRPr="00D523C8">
        <w:rPr>
          <w:rFonts w:ascii="Times New Roman" w:hAnsi="Times New Roman"/>
          <w:lang w:val="en-US"/>
        </w:rPr>
        <w:t xml:space="preserve"> price is high enough, there </w:t>
      </w:r>
      <w:r w:rsidR="00346E73">
        <w:rPr>
          <w:rFonts w:ascii="Times New Roman" w:hAnsi="Times New Roman"/>
          <w:lang w:val="en-US"/>
        </w:rPr>
        <w:t>may</w:t>
      </w:r>
      <w:r w:rsidR="00346E73" w:rsidRPr="00D523C8">
        <w:rPr>
          <w:rFonts w:ascii="Times New Roman" w:hAnsi="Times New Roman"/>
          <w:lang w:val="en-US"/>
        </w:rPr>
        <w:t xml:space="preserve"> </w:t>
      </w:r>
      <w:r w:rsidRPr="00D523C8">
        <w:rPr>
          <w:rFonts w:ascii="Times New Roman" w:hAnsi="Times New Roman"/>
          <w:lang w:val="en-US"/>
        </w:rPr>
        <w:t xml:space="preserve">be some leeway to reduce the tariff rates of the FIT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{"citationItems":[{"id":"ITEM-1","itemData":{"DOI":"10.1016/j.egypro.2014.11.1091","ISSN":"18766102","abstract":"In 2013, China launched its domestic pilot Emission Trading Scheme (ETS) as a cost-effective strategy for reducing carbon dioxide emissions. ETS generates carbon prices that interact with the Feed-in Tariff (FIT) policy applied to renewable energies (REN). This paper discusses whether ETS and FIT policies should be mutually exclusive or integrated packages for achieving China's carbon and renewable energy targets, using wind and solar energy as examples. We use equivalent CO2 price as an indicator to assess whether ETS could replace FIT policy at the provincial level. The results show that ETS alone is unlikely to provide sufficient incentive for REN development in China. ETS and FIT policy should be integrated but with coordination to avoid cost-ineffectiveness. Our model predicts that FIT levels should decrease by 3.04-4.63 percent (for wind) and 7.84- 8.87 percent (for solar) from 2015 to 2020 if a national ETS commences in 2018.","author":[{"dropping-particle":"","family":"Lin","given":"Wenbin","non-dropping-particle":"","parse-names":false,"suffix":""},{"dropping-particle":"","family":"Gu","given":"Alun","non-dropping-particle":"","parse-names":false,"suffix":""},{"dropping-particle":"","family":"Liu","given":"Bin","non-dropping-particle":"","parse-names":false,"suffix":""},{"dropping-particle":"","family":"Wang","given":"Xin","non-dropping-particle":"","parse-names":false,"suffix":""}],"container-title":"Energy Procedia","id":"ITEM-1","issued":{"date-parts":[["2014"]]},"page":"1323-1326","publisher":"Elsevier B.V.","title":"Emission trading scheme and feed-in tariff policy in China: Alternative or integrated?","type":"article-journal","volume":"61"},"uris":["http://www.mendeley.com/documents/?uuid=fbb2e6f4-6b89-40b3-aafe-f02bcf2993db"]}],"mendeley":{"formattedCitation":"[32]","plainTextFormattedCitation":"[32]","previouslyFormattedCitation":"[32]"},"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[32]</w:t>
      </w:r>
      <w:r w:rsidRPr="00D523C8">
        <w:rPr>
          <w:rFonts w:ascii="Times New Roman" w:hAnsi="Times New Roman"/>
          <w:lang w:val="en-US"/>
        </w:rPr>
        <w:fldChar w:fldCharType="end"/>
      </w:r>
      <w:r w:rsidRPr="00D523C8">
        <w:rPr>
          <w:rFonts w:ascii="Times New Roman" w:hAnsi="Times New Roman"/>
          <w:lang w:val="en-US"/>
        </w:rPr>
        <w:t xml:space="preserve">. </w:t>
      </w:r>
    </w:p>
    <w:p w14:paraId="7A29E389" w14:textId="54468846" w:rsidR="00071B18" w:rsidRPr="00D523C8" w:rsidRDefault="00071B18" w:rsidP="00071B18">
      <w:pPr>
        <w:spacing w:line="360" w:lineRule="auto"/>
        <w:ind w:firstLine="720"/>
        <w:jc w:val="both"/>
        <w:rPr>
          <w:rFonts w:ascii="Times New Roman" w:hAnsi="Times New Roman"/>
          <w:lang w:val="en-US"/>
        </w:rPr>
      </w:pPr>
      <w:r w:rsidRPr="00D523C8">
        <w:rPr>
          <w:rFonts w:ascii="Times New Roman" w:hAnsi="Times New Roman"/>
          <w:lang w:val="en-US"/>
        </w:rPr>
        <w:t>On the other hand, renewable energy support instruments will result in low demand for CO</w:t>
      </w:r>
      <w:r w:rsidRPr="00D523C8">
        <w:rPr>
          <w:rFonts w:ascii="Times New Roman" w:hAnsi="Times New Roman"/>
          <w:vertAlign w:val="subscript"/>
          <w:lang w:val="en-US"/>
        </w:rPr>
        <w:t>2</w:t>
      </w:r>
      <w:r w:rsidRPr="00D523C8">
        <w:rPr>
          <w:rFonts w:ascii="Times New Roman" w:hAnsi="Times New Roman"/>
          <w:lang w:val="en-US"/>
        </w:rPr>
        <w:t xml:space="preserve"> emission allowances in the electricity sector and the collapse of CO</w:t>
      </w:r>
      <w:r w:rsidRPr="00D523C8">
        <w:rPr>
          <w:rFonts w:ascii="Times New Roman" w:hAnsi="Times New Roman"/>
          <w:vertAlign w:val="subscript"/>
          <w:lang w:val="en-US"/>
        </w:rPr>
        <w:t>2</w:t>
      </w:r>
      <w:r w:rsidRPr="00D523C8">
        <w:rPr>
          <w:rFonts w:ascii="Times New Roman" w:hAnsi="Times New Roman"/>
          <w:lang w:val="en-US"/>
        </w:rPr>
        <w:t xml:space="preserve"> prices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{"citationItems":[{"id":"ITEM-1","itemData":{"DOI":"10.1016/j.enpol.2016.09.045","ISSN":"03014215","abstract":"The renewable energy targets put forward by the Chinese government need comprehensive incentive schemes. This paper uses a multi-regional CGE model to evaluate two types of renewable support schemes; a subsidy scheme like a feed-in tariff (FIT) with a direct price impact for final consumers and a subsidy scheme without any price impact. We assess the CO2consequences of both approaches, as well as their impact on economic activity in terms of GDP, industrial structure, electricity generation structure, and regional final demand elasticities of electricity. We find that a support scheme with price impact is much more effective in reducing CO2emissions while the difference in GDP between the two policies is small. We estimate that the price implications of the support scheme allow for an additional emissions reduction of 113 Mt CO2—or 0.07% of total emissions—in China during 2020–2035. The support scheme with a price impact does not lead to a negative impact on the Chinese economy although there are significant differences among regions. In addition, while the whole country faces an approximately unitary electricity elasticity demand, we find significant differences in electricity demand elasticities among Chinese regions.","author":[{"dropping-particle":"","family":"Wu","given":"Jie","non-dropping-particle":"","parse-names":false,"suffix":""},{"dropping-particle":"","family":"Albrecht","given":"Johan","non-dropping-particle":"","parse-names":false,"suffix":""},{"dropping-particle":"","family":"Fan","given":"Ying","non-dropping-particle":"","parse-names":false,"suffix":""},{"dropping-particle":"","family":"Xia","given":"Yan","non-dropping-particle":"","parse-names":false,"suffix":""}],"container-title":"Energy Policy","id":"ITEM-1","issued":{"date-parts":[["2016"]]},"page":"4-11","publisher":"Elsevier","title":"The design of renewable support schemes and CO&lt;sub&gt;2&lt;/sub&gt; emissions in China","type":"article-journal","volume":"99"},"uris":["http://www.mendeley.com/documents/?uuid=0109cf77-df6c-45ee-bc65-64253f935ce1"]},{"id":"ITEM-2","itemData":{"DOI":"10.1016/j.enpol.2011.02.025","ISBN":"0301-4215","ISSN":"03014215","PMID":"1248531","abstract":"This report examines the impact of renewable portfolio standards (RPS) and cap-and-trade policy options on the U.S. electricity sector. The analysis uses the National Renewable Energy Laboratory's Regional Energy Deployment System (ReEDS) model that simulates the least-cost expansion of electricity generation capacity and transmission in the U.S. to examine the impact of a variety of emissions caps-and RPS scenarios both individually and combined. The generation mix, carbon emissions, and electricity price are examined for various policy combinations simulated in the modeling. © 2011 Elsevier Ltd.","author":[{"dropping-particle":"","family":"Bird","given":"Lori","non-dropping-particle":"","parse-names":false,"suffix":""},{"dropping-particle":"","family":"Chapman","given":"Caroline","non-dropping-particle":"","parse-names":false,"suffix":""},{"dropping-particle":"","family":"Logan","given":"Jeff","non-dropping-particle":"","parse-names":false,"suffix":""},{"dropping-particle":"","family":"Sumner","given":"Jenny","non-dropping-particle":"","parse-names":false,"suffix":""},{"dropping-particle":"","family":"Short","given":"Walter","non-dropping-particle":"","parse-names":false,"suffix":""}],"container-title":"Energy Policy","id":"ITEM-2","issue":"5","issued":{"date-parts":[["2011"]]},"page":"2573-2585","publisher":"Elsevier","title":"Evaluating renewable portfolio standards and carbon cap scenarios in the U.S. electric sector","type":"article-journal","volume":"39"},"uris":["http://www.mendeley.com/documents/?uuid=9d5ad7a4-baa9-4cba-8a19-830e5ea3be8d"]},{"id":"ITEM-3","itemData":{"DOI":"10.1016/j.cie.2017.09.026","ISSN":"03608352","abstract":"In order to reduce greenhouse gas (GHG) emissions, many countries have set various kinds of policy targets and introduced policy instruments accordingly, such as carbon pricing and renewable electricity subsidies. As a consequence, potential interactions and, especially, conflicts between these co-existing instruments have become a significant concern. In this paper, a partial equilibrium model is constructed to explore the interaction between carbon pricing and renewable electricity subsidies. Based on this model, the following issues are explored: the conditions under which a single policy is optimal and the scenarios where a mixed policy is necessary in the realisation of the outlined policy targets, and the means by which to coordinate different policy targets to reduce the negative effects of any potential conflicts, especially possible CO2 price collapses. The optimal portfolio of the two policy targets is obtained, and the method of coordinating them to stabilise CO2 prices is delineated. Thereafter, an empirical study of China's case is conducted. The results show that with the policy targets set by the Chinese government for 2020, renewable energy power subsidies may lead to a collapse of CO2 prices, and a tightening of the carbon emission budget is necessary to stabilise the latter.","author":[{"dropping-particle":"","family":"Tu","given":"Qiang","non-dropping-particle":"","parse-names":false,"suffix":""},{"dropping-particle":"","family":"Mo","given":"Jian Lei","non-dropping-particle":"","parse-names":false,"suffix":""}],"container-title":"Computers and Industrial Engineering","id":"ITEM-3","issue":"September","issued":{"date-parts":[["2017"]]},"page":"294-304","publisher":"Elsevier","title":"Coordinating carbon pricing policy and renewable energy policy with a case study in China","type":"article-journal","volume":"113"},"uris":["http://www.mendeley.com/documents/?uuid=fe8dd829-13d7-4dc2-886e-36b68b01a57d"]}],"mendeley":{"formattedCitation":"[33–35]","plainTextFormattedCitation":"[33–35]","previouslyFormattedCitation":"[33–35]"},"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[33–35]</w:t>
      </w:r>
      <w:r w:rsidRPr="00D523C8">
        <w:rPr>
          <w:rFonts w:ascii="Times New Roman" w:hAnsi="Times New Roman"/>
          <w:lang w:val="en-US"/>
        </w:rPr>
        <w:fldChar w:fldCharType="end"/>
      </w:r>
      <w:r w:rsidRPr="00D523C8">
        <w:rPr>
          <w:rFonts w:ascii="Times New Roman" w:hAnsi="Times New Roman"/>
          <w:lang w:val="en-US"/>
        </w:rPr>
        <w:t>. The option is to tighten up the CO</w:t>
      </w:r>
      <w:r w:rsidRPr="00D523C8">
        <w:rPr>
          <w:rFonts w:ascii="Times New Roman" w:hAnsi="Times New Roman"/>
          <w:vertAlign w:val="subscript"/>
          <w:lang w:val="en-US"/>
        </w:rPr>
        <w:t>2</w:t>
      </w:r>
      <w:r w:rsidRPr="00D523C8">
        <w:rPr>
          <w:rFonts w:ascii="Times New Roman" w:hAnsi="Times New Roman"/>
          <w:lang w:val="en-US"/>
        </w:rPr>
        <w:t xml:space="preserve"> emission cap, adjusting it to future renewable energy deployment. For instance, Wu et al.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{"citationItems":[{"id":"ITEM-1","itemData":{"DOI":"10.3390/en10081166","ISSN":"19961073","abstract":"The adoption of emissions trading scheme (ETS) and renewable energy sources (RES) policies have been essential to achieving China’s national targets for reducing CO2 emissions and developing non-fossil energy sources. The combination of ETS and RES policies raises an important issue: What is the effect of combining ETS and RES policies on the existing carbon market and economy? Focusing on the design of the nationwide carbon market, this paper uses a multi-regional computable general equilibrium (CGE) model to analyze the economic impacts of ETS policy when combined with RES policies in China. The results show that China’s annual ETS emissions cap should decrease by 0.3% to maintain stable CO2 prices and achieve the targets in China’s intended nationally determined contribution (INDC). It is estimated that the CO2 price on the nationwide carbon market would decrease by 11–64% when the renewable energy subsidy rate increases from 20 to 100%, and the total trading volume would decrease by 3–25%. The results also show that the combination of an ETS and a feed-in tariff (FIT) results in greater GDP cost and welfare loss in all Chinese regions, increasing the total social cost by 0.01–0.06%.","author":[{"dropping-particle":"","family":"Wu","given":"Jie","non-dropping-particle":"","parse-names":false,"suffix":""},{"dropping-particle":"","family":"Fan","given":"Ying","non-dropping-particle":"","parse-names":false,"suffix":""},{"dropping-particle":"","family":"Xia","given":"Yan","non-dropping-particle":"","parse-names":false,"suffix":""}],"container-title":"Energies","id":"ITEM-1","issue":"8","issued":{"date-parts":[["2017"]]},"title":"How can China achieve its Nationally Determined Contribution targets combining emissions trading scheme and renewable energy policies?","type":"article-journal","volume":"10"},"uris":["http://www.mendeley.com/documents/?uuid=60a1203c-8409-446b-a710-deede2fc7292"]}],"mendeley":{"formattedCitation":"[36]","plainTextFormattedCitation":"[36]","previouslyFormattedCitation":"[36]"},"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[36]</w:t>
      </w:r>
      <w:r w:rsidRPr="00D523C8">
        <w:rPr>
          <w:rFonts w:ascii="Times New Roman" w:hAnsi="Times New Roman"/>
          <w:lang w:val="en-US"/>
        </w:rPr>
        <w:fldChar w:fldCharType="end"/>
      </w:r>
      <w:r w:rsidRPr="00D523C8">
        <w:rPr>
          <w:rFonts w:ascii="Times New Roman" w:hAnsi="Times New Roman"/>
          <w:lang w:val="en-US"/>
        </w:rPr>
        <w:t xml:space="preserve"> found that</w:t>
      </w:r>
      <w:r w:rsidR="00346E73">
        <w:rPr>
          <w:rFonts w:ascii="Times New Roman" w:hAnsi="Times New Roman"/>
          <w:lang w:val="en-US"/>
        </w:rPr>
        <w:t>,</w:t>
      </w:r>
      <w:r w:rsidRPr="00D523C8">
        <w:rPr>
          <w:rFonts w:ascii="Times New Roman" w:hAnsi="Times New Roman"/>
          <w:lang w:val="en-US"/>
        </w:rPr>
        <w:t xml:space="preserve"> when implementing both CO</w:t>
      </w:r>
      <w:r w:rsidRPr="00D523C8">
        <w:rPr>
          <w:rFonts w:ascii="Times New Roman" w:hAnsi="Times New Roman"/>
          <w:vertAlign w:val="subscript"/>
          <w:lang w:val="en-US"/>
        </w:rPr>
        <w:t>2</w:t>
      </w:r>
      <w:r w:rsidRPr="00D523C8">
        <w:rPr>
          <w:rFonts w:ascii="Times New Roman" w:hAnsi="Times New Roman"/>
          <w:lang w:val="en-US"/>
        </w:rPr>
        <w:t xml:space="preserve"> ETS and renewable energy support instruments, the emission cap should decrease by 0.3% annually to maintain CO</w:t>
      </w:r>
      <w:r w:rsidRPr="00D523C8">
        <w:rPr>
          <w:rFonts w:ascii="Times New Roman" w:hAnsi="Times New Roman"/>
          <w:vertAlign w:val="subscript"/>
          <w:lang w:val="en-US"/>
        </w:rPr>
        <w:t>2</w:t>
      </w:r>
      <w:r w:rsidRPr="00D523C8">
        <w:rPr>
          <w:rFonts w:ascii="Times New Roman" w:hAnsi="Times New Roman"/>
          <w:lang w:val="en-US"/>
        </w:rPr>
        <w:t xml:space="preserve"> price stability and achieve China’s INDC by 2030. If the national-level CO</w:t>
      </w:r>
      <w:r w:rsidRPr="00D523C8">
        <w:rPr>
          <w:rFonts w:ascii="Times New Roman" w:hAnsi="Times New Roman"/>
          <w:vertAlign w:val="subscript"/>
          <w:lang w:val="en-US"/>
        </w:rPr>
        <w:t>2</w:t>
      </w:r>
      <w:r w:rsidRPr="00D523C8">
        <w:rPr>
          <w:rFonts w:ascii="Times New Roman" w:hAnsi="Times New Roman"/>
          <w:lang w:val="en-US"/>
        </w:rPr>
        <w:t xml:space="preserve"> emission cap is already in place, the renewable energy support instruments </w:t>
      </w:r>
      <w:r w:rsidR="00346E73">
        <w:rPr>
          <w:rFonts w:ascii="Times New Roman" w:hAnsi="Times New Roman"/>
          <w:lang w:val="en-US"/>
        </w:rPr>
        <w:t xml:space="preserve">exist </w:t>
      </w:r>
      <w:r w:rsidRPr="00D523C8">
        <w:rPr>
          <w:rFonts w:ascii="Times New Roman" w:hAnsi="Times New Roman"/>
          <w:lang w:val="en-US"/>
        </w:rPr>
        <w:t>only to induce the decrease of CO</w:t>
      </w:r>
      <w:r w:rsidRPr="00D523C8">
        <w:rPr>
          <w:rFonts w:ascii="Times New Roman" w:hAnsi="Times New Roman"/>
          <w:vertAlign w:val="subscript"/>
          <w:lang w:val="en-US"/>
        </w:rPr>
        <w:t>2</w:t>
      </w:r>
      <w:r w:rsidRPr="00D523C8">
        <w:rPr>
          <w:rFonts w:ascii="Times New Roman" w:hAnsi="Times New Roman"/>
          <w:lang w:val="en-US"/>
        </w:rPr>
        <w:t xml:space="preserve"> prices and to substitute a more costly emission abatement approach for what would have occurred otherwise, not producing CO</w:t>
      </w:r>
      <w:r w:rsidRPr="00D523C8">
        <w:rPr>
          <w:rFonts w:ascii="Times New Roman" w:hAnsi="Times New Roman"/>
          <w:vertAlign w:val="subscript"/>
          <w:lang w:val="en-US"/>
        </w:rPr>
        <w:t>2</w:t>
      </w:r>
      <w:r w:rsidRPr="00D523C8">
        <w:rPr>
          <w:rFonts w:ascii="Times New Roman" w:hAnsi="Times New Roman"/>
          <w:lang w:val="en-US"/>
        </w:rPr>
        <w:t xml:space="preserve"> emissions below the emission cap </w:t>
      </w:r>
      <w:r w:rsidRPr="00D523C8">
        <w:rPr>
          <w:rFonts w:ascii="Times New Roman" w:hAnsi="Times New Roman"/>
          <w:lang w:val="en-US"/>
        </w:rPr>
        <w:fldChar w:fldCharType="begin" w:fldLock="1"/>
      </w:r>
      <w:r w:rsidR="005C5928" w:rsidRPr="00D523C8">
        <w:rPr>
          <w:rFonts w:ascii="Times New Roman" w:hAnsi="Times New Roman"/>
          <w:lang w:val="en-US"/>
        </w:rPr>
        <w:instrText>ADDIN CSL_CITATION {"citationItems":[{"id":"ITEM-1","itemData":{"DOI":"10.1016/j.eneco.2013.09.013","ISBN":"0140-9883","ISSN":"01409883","abstract":"The overlapping impact of the Emission Trading System (ETS) and renewable energy (RE) deployment targets creates a classic case of interaction effects. Whereas the price interaction is widely recognized and has been thoroughly discussed, the effect of an overlapping instrument on the abatement attributable to an instrument has gained little attention. This paper estimates the actual reduction in demand for European Union Allowances that has occurred due to RE deployment focusing on the German electricity sector, for the five years 2006 through 2010. Based on a unit commitment model we estimate that CO2emissions from the German electricity sector are reduced by 35 to 60Mtons, or 10% to 18% of what estimated emissions would have been without any RE policy but with the CO2price remaining in place at the observed level. Furthermore, we find that the abatement attributable to RE injections is greater in the presence of an allowance price than otherwise. The same holds for the ETS effect in presence of RE injection. This interaction effect is consistently positive for the German electricity system, at least for the considered years, and on the order of 0.5% to 1.5% of emissions. © 2013 Elsevier B.V.","author":[{"dropping-particle":"","family":"Weigt","given":"Hannes","non-dropping-particle":"","parse-names":false,"suffix":""},{"dropping-particle":"","family":"Ellerman","given":"Denny","non-dropping-particle":"","parse-names":false,"suffix":""},{"dropping-particle":"","family":"Delarue","given":"Erik","non-dropping-particle":"","parse-names":false,"suffix":""}],"container-title":"Energy Economics","id":"ITEM-1","issued":{"date-parts":[["2013"]]},"page":"S149-S158","publisher":"Elsevier B.V.","title":"CO&lt;sub&gt;2&lt;/sub&gt; abatement from renewables in the German electricity sector: Does a CO&lt;sub&gt;2&lt;/sub&gt; price help?","type":"article-journal","volume":"40"},"uris":["http://www.mendeley.com/documents/?uuid=b5d5cac2-2e1a-4b68-8a7a-46bf0ff9c604"]},{"id":"ITEM-2","itemData":{"DOI":"10.1177/0958305X16685456","ISBN":"1359-8368","ISSN":"20484070","abstract":"The impact and flexural post-impact behaviour of ternary hybrid composites based on epoxy resin reinforced with different types of fibres, basalt (B), flax (F), hemp (H) and glass (G) in textile form, namely FHB, GHB and GFB, has been investigated. The reinforcement volume employed was in the order of 21-23% throughout. Laminates based exclusively on basalt, hemp and flax fibres were also fabricated for comparison. Hybrid laminates showed an intermediate performance between basalt fibre reinforced laminates on the high side, and flax and hemp fibre reinforced laminates on the low side. As for impact performance, GHB appears to be the worst performing hybrid laminate and FHB slightly overperforms GFB. In general, an increased rigidity can be attributed to all hybrids with respect to flax and hemp fibre composites. The morphological study of fracture by SEM indicated the variability of mode of fracture of flax and hemp fibre laminates and of the hybrid configuration (FHB) containing both of them. Acoustic emission monitoring during post-impact flexural tests confirmed the proneness to delamination of FHB hybrids, whilst they were able to better withstand impact damage than the other hybrids. (C) 2014 Elsevier Ltd. All rights reserved.","author":[{"dropping-particle":"","family":"Duscha","given":"Vicki","non-dropping-particle":"","parse-names":false,"suffix":""},{"dropping-particle":"","family":"Río","given":"Pablo","non-dropping-particle":"del","parse-names":false,"suffix":""}],"container-title":"Energy and Environment","id":"ITEM-2","issue":"1-2","issued":{"date-parts":[["2017"]]},"page":"11-33","title":"An economic analysis of the interactions between renewable support and other climate and energy policies","type":"article-journal","volume":"28"},"uris":["http://www.mendeley.com/documents/?uuid=21e7541c-6c5e-4a73-898e-fdb84571068a"]}],"mendeley":{"formattedCitation":"[37,38]","plainTextFormattedCitation":"[37,38]","previouslyFormattedCitation":"[37,38]"},"properties":{"noteIndex":0},"schema":"https://github.com/citation-style-language/schema/raw/master/csl-citation.json"}</w:instrText>
      </w:r>
      <w:r w:rsidRPr="00D523C8">
        <w:rPr>
          <w:rFonts w:ascii="Times New Roman" w:hAnsi="Times New Roman"/>
          <w:lang w:val="en-US"/>
        </w:rPr>
        <w:fldChar w:fldCharType="separate"/>
      </w:r>
      <w:r w:rsidR="004A4F46" w:rsidRPr="00D523C8">
        <w:rPr>
          <w:rFonts w:ascii="Times New Roman" w:hAnsi="Times New Roman"/>
          <w:noProof/>
          <w:lang w:val="en-US"/>
        </w:rPr>
        <w:t>[37,38]</w:t>
      </w:r>
      <w:r w:rsidRPr="00D523C8">
        <w:rPr>
          <w:rFonts w:ascii="Times New Roman" w:hAnsi="Times New Roman"/>
          <w:lang w:val="en-US"/>
        </w:rPr>
        <w:fldChar w:fldCharType="end"/>
      </w:r>
      <w:r w:rsidRPr="00D523C8">
        <w:rPr>
          <w:rFonts w:ascii="Times New Roman" w:hAnsi="Times New Roman"/>
          <w:lang w:val="en-US"/>
        </w:rPr>
        <w:t>.</w:t>
      </w:r>
    </w:p>
    <w:p w14:paraId="340AFF93" w14:textId="0431C638" w:rsidR="00071B18" w:rsidRPr="00D523C8" w:rsidRDefault="00E66E28" w:rsidP="00C72CAA">
      <w:pPr>
        <w:spacing w:after="120" w:line="360" w:lineRule="auto"/>
        <w:jc w:val="center"/>
        <w:rPr>
          <w:rFonts w:ascii="Times New Roman" w:hAnsi="Times New Roman"/>
          <w:szCs w:val="20"/>
          <w:lang w:val="en-US"/>
        </w:rPr>
      </w:pPr>
      <w:r w:rsidRPr="00D523C8">
        <w:rPr>
          <w:rFonts w:ascii="Times New Roman" w:hAnsi="Times New Roman"/>
          <w:noProof/>
          <w:szCs w:val="20"/>
          <w:lang w:val="en-US"/>
        </w:rPr>
        <w:lastRenderedPageBreak/>
        <w:drawing>
          <wp:inline distT="0" distB="0" distL="0" distR="0" wp14:anchorId="048DFCC2" wp14:editId="265C0632">
            <wp:extent cx="5567904" cy="5940000"/>
            <wp:effectExtent l="0" t="0" r="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cy mix_interaction_15Apr.png"/>
                    <pic:cNvPicPr/>
                  </pic:nvPicPr>
                  <pic:blipFill rotWithShape="1">
                    <a:blip r:embed="rId12" cstate="print">
                      <a:extLst>
                        <a:ext uri="{28A0092B-C50C-407E-A947-70E740481C1C}">
                          <a14:useLocalDpi xmlns:a14="http://schemas.microsoft.com/office/drawing/2010/main" val="0"/>
                        </a:ext>
                      </a:extLst>
                    </a:blip>
                    <a:srcRect r="23057"/>
                    <a:stretch/>
                  </pic:blipFill>
                  <pic:spPr bwMode="auto">
                    <a:xfrm>
                      <a:off x="0" y="0"/>
                      <a:ext cx="5567904" cy="5940000"/>
                    </a:xfrm>
                    <a:prstGeom prst="rect">
                      <a:avLst/>
                    </a:prstGeom>
                    <a:ln>
                      <a:noFill/>
                    </a:ln>
                    <a:extLst>
                      <a:ext uri="{53640926-AAD7-44D8-BBD7-CCE9431645EC}">
                        <a14:shadowObscured xmlns:a14="http://schemas.microsoft.com/office/drawing/2010/main"/>
                      </a:ext>
                    </a:extLst>
                  </pic:spPr>
                </pic:pic>
              </a:graphicData>
            </a:graphic>
          </wp:inline>
        </w:drawing>
      </w:r>
    </w:p>
    <w:p w14:paraId="24FB672C" w14:textId="67274F3E" w:rsidR="00071B18" w:rsidRPr="00D523C8" w:rsidRDefault="00071B18" w:rsidP="00071B18">
      <w:pPr>
        <w:spacing w:after="240"/>
        <w:jc w:val="center"/>
        <w:rPr>
          <w:rFonts w:ascii="Times New Roman" w:hAnsi="Times New Roman"/>
          <w:color w:val="000000" w:themeColor="text1"/>
          <w:szCs w:val="22"/>
          <w:lang w:val="en-US"/>
        </w:rPr>
      </w:pPr>
      <w:r w:rsidRPr="00D523C8">
        <w:rPr>
          <w:rFonts w:ascii="Times New Roman" w:hAnsi="Times New Roman"/>
          <w:color w:val="000000" w:themeColor="text1"/>
          <w:szCs w:val="22"/>
          <w:lang w:val="en-US"/>
        </w:rPr>
        <w:t xml:space="preserve">Figure </w:t>
      </w:r>
      <w:r w:rsidR="00AD046A" w:rsidRPr="00D523C8">
        <w:rPr>
          <w:rFonts w:ascii="Times New Roman" w:hAnsi="Times New Roman"/>
          <w:color w:val="000000" w:themeColor="text1"/>
          <w:szCs w:val="22"/>
          <w:lang w:val="en-US"/>
        </w:rPr>
        <w:t>A</w:t>
      </w:r>
      <w:r w:rsidRPr="00D523C8">
        <w:rPr>
          <w:rFonts w:ascii="Times New Roman" w:hAnsi="Times New Roman"/>
          <w:color w:val="000000" w:themeColor="text1"/>
          <w:szCs w:val="22"/>
          <w:lang w:val="en-US"/>
        </w:rPr>
        <w:t xml:space="preserve">6. Policy interactions over </w:t>
      </w:r>
      <w:r w:rsidR="00DE7805">
        <w:rPr>
          <w:rFonts w:ascii="Times New Roman" w:hAnsi="Times New Roman"/>
          <w:color w:val="000000" w:themeColor="text1"/>
          <w:szCs w:val="22"/>
          <w:lang w:val="en-US"/>
        </w:rPr>
        <w:t xml:space="preserve">the period of the </w:t>
      </w:r>
      <w:r w:rsidRPr="00D523C8">
        <w:rPr>
          <w:rFonts w:ascii="Times New Roman" w:hAnsi="Times New Roman"/>
          <w:color w:val="000000" w:themeColor="text1"/>
          <w:szCs w:val="22"/>
          <w:lang w:val="en-US"/>
        </w:rPr>
        <w:t>13</w:t>
      </w:r>
      <w:r w:rsidRPr="00D523C8">
        <w:rPr>
          <w:rFonts w:ascii="Times New Roman" w:hAnsi="Times New Roman"/>
          <w:color w:val="000000" w:themeColor="text1"/>
          <w:szCs w:val="22"/>
          <w:vertAlign w:val="superscript"/>
          <w:lang w:val="en-US"/>
        </w:rPr>
        <w:t>th</w:t>
      </w:r>
      <w:r w:rsidRPr="00D523C8">
        <w:rPr>
          <w:rFonts w:ascii="Times New Roman" w:hAnsi="Times New Roman"/>
          <w:color w:val="000000" w:themeColor="text1"/>
          <w:szCs w:val="22"/>
          <w:lang w:val="en-US"/>
        </w:rPr>
        <w:t xml:space="preserve"> FYP (2016–2020)</w:t>
      </w:r>
    </w:p>
    <w:p w14:paraId="38243DE2" w14:textId="4530591D" w:rsidR="00071B18" w:rsidRPr="00D523C8" w:rsidRDefault="00071B18" w:rsidP="00A33133">
      <w:pPr>
        <w:spacing w:line="360" w:lineRule="auto"/>
        <w:ind w:firstLine="720"/>
        <w:jc w:val="both"/>
        <w:rPr>
          <w:rFonts w:ascii="Times New Roman" w:hAnsi="Times New Roman"/>
          <w:color w:val="000000" w:themeColor="text1"/>
          <w:lang w:val="en-US"/>
        </w:rPr>
        <w:sectPr w:rsidR="00071B18" w:rsidRPr="00D523C8" w:rsidSect="00D90522">
          <w:footerReference w:type="default" r:id="rId13"/>
          <w:pgSz w:w="11900" w:h="16840"/>
          <w:pgMar w:top="1440" w:right="1440" w:bottom="1440" w:left="1440" w:header="708" w:footer="708" w:gutter="0"/>
          <w:cols w:space="708"/>
          <w:docGrid w:linePitch="360"/>
        </w:sectPr>
      </w:pPr>
    </w:p>
    <w:p w14:paraId="259161C4" w14:textId="43E3D874" w:rsidR="00C87918" w:rsidRPr="00D523C8" w:rsidRDefault="00C87918" w:rsidP="00847F84">
      <w:pPr>
        <w:pStyle w:val="Heading1"/>
        <w:spacing w:after="240"/>
        <w:rPr>
          <w:rFonts w:ascii="Times New Roman" w:hAnsi="Times New Roman" w:cs="Times New Roman"/>
          <w:color w:val="000000" w:themeColor="text1"/>
        </w:rPr>
      </w:pPr>
      <w:r w:rsidRPr="00D523C8">
        <w:rPr>
          <w:rFonts w:ascii="Times New Roman" w:hAnsi="Times New Roman" w:cs="Times New Roman"/>
          <w:color w:val="000000" w:themeColor="text1"/>
        </w:rPr>
        <w:lastRenderedPageBreak/>
        <w:t>Reference</w:t>
      </w:r>
    </w:p>
    <w:p w14:paraId="24B953E8" w14:textId="3A26D690"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Givoni</w:t>
      </w:r>
      <w:proofErr w:type="spellEnd"/>
      <w:r w:rsidRPr="00804BC8">
        <w:rPr>
          <w:rFonts w:ascii="Times New Roman" w:hAnsi="Times New Roman"/>
          <w:sz w:val="22"/>
          <w:szCs w:val="22"/>
          <w:lang w:val="en-US" w:bidi="ar-SA"/>
        </w:rPr>
        <w:t xml:space="preserve"> M. Addressing transport policy challenges through policy-packaging. </w:t>
      </w:r>
      <w:proofErr w:type="spellStart"/>
      <w:r w:rsidRPr="00804BC8">
        <w:rPr>
          <w:rFonts w:ascii="Times New Roman" w:hAnsi="Times New Roman"/>
          <w:sz w:val="22"/>
          <w:szCs w:val="22"/>
          <w:lang w:val="en-US" w:bidi="ar-SA"/>
        </w:rPr>
        <w:t>Transp</w:t>
      </w:r>
      <w:proofErr w:type="spellEnd"/>
      <w:r w:rsidRPr="00804BC8">
        <w:rPr>
          <w:rFonts w:ascii="Times New Roman" w:hAnsi="Times New Roman"/>
          <w:sz w:val="22"/>
          <w:szCs w:val="22"/>
          <w:lang w:val="en-US" w:bidi="ar-SA"/>
        </w:rPr>
        <w:t xml:space="preserve"> Res Part A Policy </w:t>
      </w:r>
      <w:proofErr w:type="spellStart"/>
      <w:r w:rsidRPr="00804BC8">
        <w:rPr>
          <w:rFonts w:ascii="Times New Roman" w:hAnsi="Times New Roman"/>
          <w:sz w:val="22"/>
          <w:szCs w:val="22"/>
          <w:lang w:val="en-US" w:bidi="ar-SA"/>
        </w:rPr>
        <w:t>Pract</w:t>
      </w:r>
      <w:proofErr w:type="spellEnd"/>
      <w:r w:rsidRPr="00804BC8">
        <w:rPr>
          <w:rFonts w:ascii="Times New Roman" w:hAnsi="Times New Roman"/>
          <w:sz w:val="22"/>
          <w:szCs w:val="22"/>
          <w:lang w:val="en-US" w:bidi="ar-SA"/>
        </w:rPr>
        <w:t xml:space="preserve"> 2014;60:1–8. doi:10.1016/j.tra.2013.10.012.</w:t>
      </w:r>
    </w:p>
    <w:p w14:paraId="74D4AEA4"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w:t>
      </w:r>
      <w:r w:rsidRPr="00804BC8">
        <w:rPr>
          <w:rFonts w:ascii="Times New Roman" w:hAnsi="Times New Roman"/>
          <w:sz w:val="22"/>
          <w:szCs w:val="22"/>
          <w:lang w:val="en-US" w:bidi="ar-SA"/>
        </w:rPr>
        <w:tab/>
        <w:t xml:space="preserve">Taeihagh A, </w:t>
      </w:r>
      <w:proofErr w:type="spellStart"/>
      <w:r w:rsidRPr="00804BC8">
        <w:rPr>
          <w:rFonts w:ascii="Times New Roman" w:hAnsi="Times New Roman"/>
          <w:sz w:val="22"/>
          <w:szCs w:val="22"/>
          <w:lang w:val="en-US" w:bidi="ar-SA"/>
        </w:rPr>
        <w:t>Bañares-Alcántara</w:t>
      </w:r>
      <w:proofErr w:type="spellEnd"/>
      <w:r w:rsidRPr="00804BC8">
        <w:rPr>
          <w:rFonts w:ascii="Times New Roman" w:hAnsi="Times New Roman"/>
          <w:sz w:val="22"/>
          <w:szCs w:val="22"/>
          <w:lang w:val="en-US" w:bidi="ar-SA"/>
        </w:rPr>
        <w:t xml:space="preserve"> R, </w:t>
      </w:r>
      <w:proofErr w:type="spellStart"/>
      <w:r w:rsidRPr="00804BC8">
        <w:rPr>
          <w:rFonts w:ascii="Times New Roman" w:hAnsi="Times New Roman"/>
          <w:sz w:val="22"/>
          <w:szCs w:val="22"/>
          <w:lang w:val="en-US" w:bidi="ar-SA"/>
        </w:rPr>
        <w:t>Millican</w:t>
      </w:r>
      <w:proofErr w:type="spellEnd"/>
      <w:r w:rsidRPr="00804BC8">
        <w:rPr>
          <w:rFonts w:ascii="Times New Roman" w:hAnsi="Times New Roman"/>
          <w:sz w:val="22"/>
          <w:szCs w:val="22"/>
          <w:lang w:val="en-US" w:bidi="ar-SA"/>
        </w:rPr>
        <w:t xml:space="preserve"> C. Development of a novel framework for the design of transport policies to achieve environmental targets. </w:t>
      </w:r>
      <w:proofErr w:type="spellStart"/>
      <w:r w:rsidRPr="00804BC8">
        <w:rPr>
          <w:rFonts w:ascii="Times New Roman" w:hAnsi="Times New Roman"/>
          <w:sz w:val="22"/>
          <w:szCs w:val="22"/>
          <w:lang w:val="en-US" w:bidi="ar-SA"/>
        </w:rPr>
        <w:t>Comput</w:t>
      </w:r>
      <w:proofErr w:type="spellEnd"/>
      <w:r w:rsidRPr="00804BC8">
        <w:rPr>
          <w:rFonts w:ascii="Times New Roman" w:hAnsi="Times New Roman"/>
          <w:sz w:val="22"/>
          <w:szCs w:val="22"/>
          <w:lang w:val="en-US" w:bidi="ar-SA"/>
        </w:rPr>
        <w:t xml:space="preserve"> Chem </w:t>
      </w:r>
      <w:proofErr w:type="spellStart"/>
      <w:r w:rsidRPr="00804BC8">
        <w:rPr>
          <w:rFonts w:ascii="Times New Roman" w:hAnsi="Times New Roman"/>
          <w:sz w:val="22"/>
          <w:szCs w:val="22"/>
          <w:lang w:val="en-US" w:bidi="ar-SA"/>
        </w:rPr>
        <w:t>Eng</w:t>
      </w:r>
      <w:proofErr w:type="spellEnd"/>
      <w:r w:rsidRPr="00804BC8">
        <w:rPr>
          <w:rFonts w:ascii="Times New Roman" w:hAnsi="Times New Roman"/>
          <w:sz w:val="22"/>
          <w:szCs w:val="22"/>
          <w:lang w:val="en-US" w:bidi="ar-SA"/>
        </w:rPr>
        <w:t xml:space="preserve"> 2009;33:1531–45. doi:10.1016/j.compchemeng.2009.01.010.</w:t>
      </w:r>
    </w:p>
    <w:p w14:paraId="1E3CAEBC"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w:t>
      </w:r>
      <w:r w:rsidRPr="00804BC8">
        <w:rPr>
          <w:rFonts w:ascii="Times New Roman" w:hAnsi="Times New Roman"/>
          <w:sz w:val="22"/>
          <w:szCs w:val="22"/>
          <w:lang w:val="en-US" w:bidi="ar-SA"/>
        </w:rPr>
        <w:tab/>
        <w:t xml:space="preserve">Taeihagh A, </w:t>
      </w:r>
      <w:proofErr w:type="spellStart"/>
      <w:r w:rsidRPr="00804BC8">
        <w:rPr>
          <w:rFonts w:ascii="Times New Roman" w:hAnsi="Times New Roman"/>
          <w:sz w:val="22"/>
          <w:szCs w:val="22"/>
          <w:lang w:val="en-US" w:bidi="ar-SA"/>
        </w:rPr>
        <w:t>Givoni</w:t>
      </w:r>
      <w:proofErr w:type="spellEnd"/>
      <w:r w:rsidRPr="00804BC8">
        <w:rPr>
          <w:rFonts w:ascii="Times New Roman" w:hAnsi="Times New Roman"/>
          <w:sz w:val="22"/>
          <w:szCs w:val="22"/>
          <w:lang w:val="en-US" w:bidi="ar-SA"/>
        </w:rPr>
        <w:t xml:space="preserve"> M, </w:t>
      </w:r>
      <w:proofErr w:type="spellStart"/>
      <w:r w:rsidRPr="00804BC8">
        <w:rPr>
          <w:rFonts w:ascii="Times New Roman" w:hAnsi="Times New Roman"/>
          <w:sz w:val="22"/>
          <w:szCs w:val="22"/>
          <w:lang w:val="en-US" w:bidi="ar-SA"/>
        </w:rPr>
        <w:t>Bañares-Alcántara</w:t>
      </w:r>
      <w:proofErr w:type="spellEnd"/>
      <w:r w:rsidRPr="00804BC8">
        <w:rPr>
          <w:rFonts w:ascii="Times New Roman" w:hAnsi="Times New Roman"/>
          <w:sz w:val="22"/>
          <w:szCs w:val="22"/>
          <w:lang w:val="en-US" w:bidi="ar-SA"/>
        </w:rPr>
        <w:t xml:space="preserve"> R. Which policy first? A network-centric approach for the analysis and ranking of policy measures. Environ Plan B Plan Des 2013;40:595–616. doi:10.1068/b38058.</w:t>
      </w:r>
    </w:p>
    <w:p w14:paraId="19081E2B"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[4]</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Givoni</w:t>
      </w:r>
      <w:proofErr w:type="spellEnd"/>
      <w:r w:rsidRPr="00804BC8">
        <w:rPr>
          <w:rFonts w:ascii="Times New Roman" w:hAnsi="Times New Roman"/>
          <w:sz w:val="22"/>
          <w:szCs w:val="22"/>
          <w:lang w:val="en-US" w:bidi="ar-SA"/>
        </w:rPr>
        <w:t xml:space="preserve"> M, </w:t>
      </w:r>
      <w:proofErr w:type="spellStart"/>
      <w:r w:rsidRPr="00804BC8">
        <w:rPr>
          <w:rFonts w:ascii="Times New Roman" w:hAnsi="Times New Roman"/>
          <w:sz w:val="22"/>
          <w:szCs w:val="22"/>
          <w:lang w:val="en-US" w:bidi="ar-SA"/>
        </w:rPr>
        <w:t>Macmillen</w:t>
      </w:r>
      <w:proofErr w:type="spellEnd"/>
      <w:r w:rsidRPr="00804BC8">
        <w:rPr>
          <w:rFonts w:ascii="Times New Roman" w:hAnsi="Times New Roman"/>
          <w:sz w:val="22"/>
          <w:szCs w:val="22"/>
          <w:lang w:val="en-US" w:bidi="ar-SA"/>
        </w:rPr>
        <w:t xml:space="preserve"> J, Banister D, </w:t>
      </w:r>
      <w:proofErr w:type="spellStart"/>
      <w:r w:rsidRPr="00804BC8">
        <w:rPr>
          <w:rFonts w:ascii="Times New Roman" w:hAnsi="Times New Roman"/>
          <w:sz w:val="22"/>
          <w:szCs w:val="22"/>
          <w:lang w:val="en-US" w:bidi="ar-SA"/>
        </w:rPr>
        <w:t>Feitelson</w:t>
      </w:r>
      <w:proofErr w:type="spellEnd"/>
      <w:r w:rsidRPr="00804BC8">
        <w:rPr>
          <w:rFonts w:ascii="Times New Roman" w:hAnsi="Times New Roman"/>
          <w:sz w:val="22"/>
          <w:szCs w:val="22"/>
          <w:lang w:val="en-US" w:bidi="ar-SA"/>
        </w:rPr>
        <w:t xml:space="preserve"> E. From policy measures to policy packages. </w:t>
      </w:r>
      <w:proofErr w:type="spellStart"/>
      <w:r w:rsidRPr="00804BC8">
        <w:rPr>
          <w:rFonts w:ascii="Times New Roman" w:hAnsi="Times New Roman"/>
          <w:sz w:val="22"/>
          <w:szCs w:val="22"/>
          <w:lang w:val="en-US" w:bidi="ar-SA"/>
        </w:rPr>
        <w:t>Transp</w:t>
      </w:r>
      <w:proofErr w:type="spellEnd"/>
      <w:r w:rsidRPr="00804BC8">
        <w:rPr>
          <w:rFonts w:ascii="Times New Roman" w:hAnsi="Times New Roman"/>
          <w:sz w:val="22"/>
          <w:szCs w:val="22"/>
          <w:lang w:val="en-US" w:bidi="ar-SA"/>
        </w:rPr>
        <w:t xml:space="preserve"> Rev 2013;33:1–20. doi:10.1080/01441647.2012.744779.</w:t>
      </w:r>
    </w:p>
    <w:p w14:paraId="677A101D"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[5]</w:t>
      </w:r>
      <w:r w:rsidRPr="00804BC8">
        <w:rPr>
          <w:rFonts w:ascii="Times New Roman" w:hAnsi="Times New Roman"/>
          <w:sz w:val="22"/>
          <w:szCs w:val="22"/>
          <w:lang w:val="en-US" w:bidi="ar-SA"/>
        </w:rPr>
        <w:tab/>
        <w:t>Anonymous. Details omitted for double-blind reviewing 2014.</w:t>
      </w:r>
    </w:p>
    <w:p w14:paraId="50C92717"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[6]</w:t>
      </w:r>
      <w:r w:rsidRPr="00804BC8">
        <w:rPr>
          <w:rFonts w:ascii="Times New Roman" w:hAnsi="Times New Roman"/>
          <w:sz w:val="22"/>
          <w:szCs w:val="22"/>
          <w:lang w:val="en-US" w:bidi="ar-SA"/>
        </w:rPr>
        <w:tab/>
        <w:t>Anonymous. Details omitted for double-blind reviewing 2017.</w:t>
      </w:r>
    </w:p>
    <w:p w14:paraId="4FED6F2D"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[7]</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Sørensen</w:t>
      </w:r>
      <w:proofErr w:type="spellEnd"/>
      <w:r w:rsidRPr="00804BC8">
        <w:rPr>
          <w:rFonts w:ascii="Times New Roman" w:hAnsi="Times New Roman"/>
          <w:sz w:val="22"/>
          <w:szCs w:val="22"/>
          <w:lang w:val="en-US" w:bidi="ar-SA"/>
        </w:rPr>
        <w:t xml:space="preserve"> CH, Isaksson K, </w:t>
      </w:r>
      <w:proofErr w:type="spellStart"/>
      <w:r w:rsidRPr="00804BC8">
        <w:rPr>
          <w:rFonts w:ascii="Times New Roman" w:hAnsi="Times New Roman"/>
          <w:sz w:val="22"/>
          <w:szCs w:val="22"/>
          <w:lang w:val="en-US" w:bidi="ar-SA"/>
        </w:rPr>
        <w:t>Macmillen</w:t>
      </w:r>
      <w:proofErr w:type="spellEnd"/>
      <w:r w:rsidRPr="00804BC8">
        <w:rPr>
          <w:rFonts w:ascii="Times New Roman" w:hAnsi="Times New Roman"/>
          <w:sz w:val="22"/>
          <w:szCs w:val="22"/>
          <w:lang w:val="en-US" w:bidi="ar-SA"/>
        </w:rPr>
        <w:t xml:space="preserve"> J, </w:t>
      </w:r>
      <w:proofErr w:type="spellStart"/>
      <w:r w:rsidRPr="00804BC8">
        <w:rPr>
          <w:rFonts w:ascii="Times New Roman" w:hAnsi="Times New Roman"/>
          <w:sz w:val="22"/>
          <w:szCs w:val="22"/>
          <w:lang w:val="en-US" w:bidi="ar-SA"/>
        </w:rPr>
        <w:t>Åkerman</w:t>
      </w:r>
      <w:proofErr w:type="spellEnd"/>
      <w:r w:rsidRPr="00804BC8">
        <w:rPr>
          <w:rFonts w:ascii="Times New Roman" w:hAnsi="Times New Roman"/>
          <w:sz w:val="22"/>
          <w:szCs w:val="22"/>
          <w:lang w:val="en-US" w:bidi="ar-SA"/>
        </w:rPr>
        <w:t xml:space="preserve"> J, </w:t>
      </w:r>
      <w:proofErr w:type="spellStart"/>
      <w:r w:rsidRPr="00804BC8">
        <w:rPr>
          <w:rFonts w:ascii="Times New Roman" w:hAnsi="Times New Roman"/>
          <w:sz w:val="22"/>
          <w:szCs w:val="22"/>
          <w:lang w:val="en-US" w:bidi="ar-SA"/>
        </w:rPr>
        <w:t>Kressler</w:t>
      </w:r>
      <w:proofErr w:type="spellEnd"/>
      <w:r w:rsidRPr="00804BC8">
        <w:rPr>
          <w:rFonts w:ascii="Times New Roman" w:hAnsi="Times New Roman"/>
          <w:sz w:val="22"/>
          <w:szCs w:val="22"/>
          <w:lang w:val="en-US" w:bidi="ar-SA"/>
        </w:rPr>
        <w:t xml:space="preserve"> F. Strategies to manage barriers in policy formation and implementation of road pricing packages. </w:t>
      </w:r>
      <w:proofErr w:type="spellStart"/>
      <w:r w:rsidRPr="00804BC8">
        <w:rPr>
          <w:rFonts w:ascii="Times New Roman" w:hAnsi="Times New Roman"/>
          <w:sz w:val="22"/>
          <w:szCs w:val="22"/>
          <w:lang w:val="en-US" w:bidi="ar-SA"/>
        </w:rPr>
        <w:t>Transp</w:t>
      </w:r>
      <w:proofErr w:type="spellEnd"/>
      <w:r w:rsidRPr="00804BC8">
        <w:rPr>
          <w:rFonts w:ascii="Times New Roman" w:hAnsi="Times New Roman"/>
          <w:sz w:val="22"/>
          <w:szCs w:val="22"/>
          <w:lang w:val="en-US" w:bidi="ar-SA"/>
        </w:rPr>
        <w:t xml:space="preserve"> Res Part A Policy </w:t>
      </w:r>
      <w:proofErr w:type="spellStart"/>
      <w:r w:rsidRPr="00804BC8">
        <w:rPr>
          <w:rFonts w:ascii="Times New Roman" w:hAnsi="Times New Roman"/>
          <w:sz w:val="22"/>
          <w:szCs w:val="22"/>
          <w:lang w:val="en-US" w:bidi="ar-SA"/>
        </w:rPr>
        <w:t>Pract</w:t>
      </w:r>
      <w:proofErr w:type="spellEnd"/>
      <w:r w:rsidRPr="00804BC8">
        <w:rPr>
          <w:rFonts w:ascii="Times New Roman" w:hAnsi="Times New Roman"/>
          <w:sz w:val="22"/>
          <w:szCs w:val="22"/>
          <w:lang w:val="en-US" w:bidi="ar-SA"/>
        </w:rPr>
        <w:t xml:space="preserve"> 2014;60:40–52. doi:10.1016/j.tra.2013.10.013.</w:t>
      </w:r>
    </w:p>
    <w:p w14:paraId="62CEF8AC"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[8]</w:t>
      </w:r>
      <w:r w:rsidRPr="00804BC8">
        <w:rPr>
          <w:rFonts w:ascii="Times New Roman" w:hAnsi="Times New Roman"/>
          <w:sz w:val="22"/>
          <w:szCs w:val="22"/>
          <w:lang w:val="en-US" w:bidi="ar-SA"/>
        </w:rPr>
        <w:tab/>
        <w:t xml:space="preserve">Milkman KL, Mazza MC, Shu LL, </w:t>
      </w:r>
      <w:proofErr w:type="spellStart"/>
      <w:r w:rsidRPr="00804BC8">
        <w:rPr>
          <w:rFonts w:ascii="Times New Roman" w:hAnsi="Times New Roman"/>
          <w:sz w:val="22"/>
          <w:szCs w:val="22"/>
          <w:lang w:val="en-US" w:bidi="ar-SA"/>
        </w:rPr>
        <w:t>Tsay</w:t>
      </w:r>
      <w:proofErr w:type="spellEnd"/>
      <w:r w:rsidRPr="00804BC8">
        <w:rPr>
          <w:rFonts w:ascii="Times New Roman" w:hAnsi="Times New Roman"/>
          <w:sz w:val="22"/>
          <w:szCs w:val="22"/>
          <w:lang w:val="en-US" w:bidi="ar-SA"/>
        </w:rPr>
        <w:t xml:space="preserve"> CJ, Bazerman MH. Policy bundling to overcome loss aversion: a method for improving legislative outcomes. Organ </w:t>
      </w:r>
      <w:proofErr w:type="spellStart"/>
      <w:r w:rsidRPr="00804BC8">
        <w:rPr>
          <w:rFonts w:ascii="Times New Roman" w:hAnsi="Times New Roman"/>
          <w:sz w:val="22"/>
          <w:szCs w:val="22"/>
          <w:lang w:val="en-US" w:bidi="ar-SA"/>
        </w:rPr>
        <w:t>Behav</w:t>
      </w:r>
      <w:proofErr w:type="spellEnd"/>
      <w:r w:rsidRPr="00804BC8">
        <w:rPr>
          <w:rFonts w:ascii="Times New Roman" w:hAnsi="Times New Roman"/>
          <w:sz w:val="22"/>
          <w:szCs w:val="22"/>
          <w:lang w:val="en-US" w:bidi="ar-SA"/>
        </w:rPr>
        <w:t xml:space="preserve"> Hum </w:t>
      </w:r>
      <w:proofErr w:type="spellStart"/>
      <w:r w:rsidRPr="00804BC8">
        <w:rPr>
          <w:rFonts w:ascii="Times New Roman" w:hAnsi="Times New Roman"/>
          <w:sz w:val="22"/>
          <w:szCs w:val="22"/>
          <w:lang w:val="en-US" w:bidi="ar-SA"/>
        </w:rPr>
        <w:t>Decis</w:t>
      </w:r>
      <w:proofErr w:type="spellEnd"/>
      <w:r w:rsidRPr="00804BC8">
        <w:rPr>
          <w:rFonts w:ascii="Times New Roman" w:hAnsi="Times New Roman"/>
          <w:sz w:val="22"/>
          <w:szCs w:val="22"/>
          <w:lang w:val="en-US" w:bidi="ar-SA"/>
        </w:rPr>
        <w:t xml:space="preserve"> Process 2012;117:158–67. doi:10.1016/j.obhdp.2011.07.001.</w:t>
      </w:r>
    </w:p>
    <w:p w14:paraId="3926CAD5"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[9]</w:t>
      </w:r>
      <w:r w:rsidRPr="00804BC8">
        <w:rPr>
          <w:rFonts w:ascii="Times New Roman" w:hAnsi="Times New Roman"/>
          <w:sz w:val="22"/>
          <w:szCs w:val="22"/>
          <w:lang w:val="en-US" w:bidi="ar-SA"/>
        </w:rPr>
        <w:tab/>
        <w:t>Howlett M, How YP, del Río P. The parameters of policy portfolios: verticality and horizontality in design spaces and their consequences for policy mix formulation. Environ Plan C Gov Policy 2015;33:1233–45. doi:10.1177/0263774X15610059.</w:t>
      </w:r>
    </w:p>
    <w:p w14:paraId="204019E2"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[10]</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Doremus</w:t>
      </w:r>
      <w:proofErr w:type="spellEnd"/>
      <w:r w:rsidRPr="00804BC8">
        <w:rPr>
          <w:rFonts w:ascii="Times New Roman" w:hAnsi="Times New Roman"/>
          <w:sz w:val="22"/>
          <w:szCs w:val="22"/>
          <w:lang w:val="en-US" w:bidi="ar-SA"/>
        </w:rPr>
        <w:t xml:space="preserve"> H. A policy portfolio approach to biodiversity protection on private lands. Environ Sci Policy 2003;6:217–32. doi:10.1016/S1462-9011(03)00036-4.</w:t>
      </w:r>
    </w:p>
    <w:p w14:paraId="562DB809"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[11]</w:t>
      </w:r>
      <w:r w:rsidRPr="00804BC8">
        <w:rPr>
          <w:rFonts w:ascii="Times New Roman" w:hAnsi="Times New Roman"/>
          <w:sz w:val="22"/>
          <w:szCs w:val="22"/>
          <w:lang w:val="en-US" w:bidi="ar-SA"/>
        </w:rPr>
        <w:tab/>
        <w:t>Xu Y-C. A powerhouse reform: Conversion from the Ministry of Electric Power to the State Power Corporation of China. Aust J Polit Sci 2001;36:123–43. doi:10.1080/10361140020032223.</w:t>
      </w:r>
    </w:p>
    <w:p w14:paraId="32FA0F4E"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[12]</w:t>
      </w:r>
      <w:r w:rsidRPr="00804BC8">
        <w:rPr>
          <w:rFonts w:ascii="Times New Roman" w:hAnsi="Times New Roman"/>
          <w:sz w:val="22"/>
          <w:szCs w:val="22"/>
          <w:lang w:val="en-US" w:bidi="ar-SA"/>
        </w:rPr>
        <w:tab/>
        <w:t>Wang Q, Chen X. China’s electricity market-oriented reform: from an absolute to a relative monopoly. Energy Policy 2012;51:143–8. doi:10.1016/j.enpol.2012.08.039.</w:t>
      </w:r>
    </w:p>
    <w:p w14:paraId="3E29FB9A"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[13]</w:t>
      </w:r>
      <w:r w:rsidRPr="00804BC8">
        <w:rPr>
          <w:rFonts w:ascii="Times New Roman" w:hAnsi="Times New Roman"/>
          <w:sz w:val="22"/>
          <w:szCs w:val="22"/>
          <w:lang w:val="en-US" w:bidi="ar-SA"/>
        </w:rPr>
        <w:tab/>
        <w:t>Chen G. China’s climate policy. New York: Routledge; 2012.</w:t>
      </w:r>
    </w:p>
    <w:p w14:paraId="6BA61BBC"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[14]</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Qiu</w:t>
      </w:r>
      <w:proofErr w:type="spellEnd"/>
      <w:r w:rsidRPr="00804BC8">
        <w:rPr>
          <w:rFonts w:ascii="Times New Roman" w:hAnsi="Times New Roman"/>
          <w:sz w:val="22"/>
          <w:szCs w:val="22"/>
          <w:lang w:val="en-US" w:bidi="ar-SA"/>
        </w:rPr>
        <w:t xml:space="preserve"> X, Li H. China’s environmental super ministry reform: background, challenges and the future. Environ Law Report 2009;2:10152–63.</w:t>
      </w:r>
    </w:p>
    <w:p w14:paraId="162977CC" w14:textId="52C87DBB" w:rsidR="00AF31E5" w:rsidRPr="00AF31E5" w:rsidRDefault="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[15]</w:t>
      </w:r>
      <w:r w:rsidRPr="00804BC8">
        <w:rPr>
          <w:rFonts w:ascii="Times New Roman" w:hAnsi="Times New Roman"/>
          <w:sz w:val="22"/>
          <w:szCs w:val="22"/>
          <w:lang w:val="en-US" w:bidi="ar-SA"/>
        </w:rPr>
        <w:tab/>
        <w:t xml:space="preserve">de Jong M, Yu C, Joss S, </w:t>
      </w:r>
      <w:proofErr w:type="spellStart"/>
      <w:r w:rsidRPr="00804BC8">
        <w:rPr>
          <w:rFonts w:ascii="Times New Roman" w:hAnsi="Times New Roman"/>
          <w:sz w:val="22"/>
          <w:szCs w:val="22"/>
          <w:lang w:val="en-US" w:bidi="ar-SA"/>
        </w:rPr>
        <w:t>Wennersten</w:t>
      </w:r>
      <w:proofErr w:type="spellEnd"/>
      <w:r w:rsidRPr="00804BC8">
        <w:rPr>
          <w:rFonts w:ascii="Times New Roman" w:hAnsi="Times New Roman"/>
          <w:sz w:val="22"/>
          <w:szCs w:val="22"/>
          <w:lang w:val="en-US" w:bidi="ar-SA"/>
        </w:rPr>
        <w:t xml:space="preserve"> R, Yu L, </w:t>
      </w:r>
      <w:r w:rsidR="00AF31E5" w:rsidRPr="00AF31E5">
        <w:rPr>
          <w:rFonts w:ascii="Times New Roman" w:hAnsi="Times New Roman"/>
          <w:sz w:val="22"/>
          <w:szCs w:val="22"/>
          <w:lang w:val="en-US" w:bidi="ar-SA"/>
        </w:rPr>
        <w:t>Zhang X, Ma X</w:t>
      </w:r>
      <w:r w:rsidRPr="00804BC8">
        <w:rPr>
          <w:rFonts w:ascii="Times New Roman" w:hAnsi="Times New Roman"/>
          <w:sz w:val="22"/>
          <w:szCs w:val="22"/>
          <w:lang w:val="en-US" w:bidi="ar-SA"/>
        </w:rPr>
        <w:t>. Eco city development in China: addressing the policy implementation challenge. J Clean Prod 2016;134:31–41. doi:10.1016/j.jclepro.2016.03.083.</w:t>
      </w:r>
    </w:p>
    <w:p w14:paraId="5D9EC138"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[16]</w:t>
      </w:r>
      <w:r w:rsidRPr="00804BC8">
        <w:rPr>
          <w:rFonts w:ascii="Times New Roman" w:hAnsi="Times New Roman"/>
          <w:sz w:val="22"/>
          <w:szCs w:val="22"/>
          <w:lang w:val="en-US" w:bidi="ar-SA"/>
        </w:rPr>
        <w:tab/>
        <w:t>NDRC of China. Enhanced actions on climate change: China’s Intended Nationally Determined Contributions (INDCs). Submitted to UNFCCC. National Development and Reform Commission, China; 2015.</w:t>
      </w:r>
    </w:p>
    <w:p w14:paraId="2E6770B0"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[17]</w:t>
      </w:r>
      <w:r w:rsidRPr="00804BC8">
        <w:rPr>
          <w:rFonts w:ascii="Times New Roman" w:hAnsi="Times New Roman"/>
          <w:sz w:val="22"/>
          <w:szCs w:val="22"/>
          <w:lang w:val="en-US" w:bidi="ar-SA"/>
        </w:rPr>
        <w:tab/>
        <w:t>Zeng M, Yang Y, Wang L, Sun J. The power industry reform in China 2015: policies, evaluations and solutions. Renew Sustain Energy Rev 2016;57:94–110. doi:10.1016/j.rser.2015.12.203.</w:t>
      </w:r>
    </w:p>
    <w:p w14:paraId="515AE6A1"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[18]</w:t>
      </w:r>
      <w:r w:rsidRPr="00804BC8">
        <w:rPr>
          <w:rFonts w:ascii="Times New Roman" w:hAnsi="Times New Roman"/>
          <w:sz w:val="22"/>
          <w:szCs w:val="22"/>
          <w:lang w:val="en-US" w:bidi="ar-SA"/>
        </w:rPr>
        <w:tab/>
        <w:t>Lo K, Li H, Wang M. Energy conservation in China’s energy-intensive enterprises: an empirical study of the Ten-Thousand Enterprises Program. Energy Sustain Dev 2015;27:105–11. doi:10.1016/j.esd.2015.05.002.</w:t>
      </w:r>
    </w:p>
    <w:p w14:paraId="274E8E66"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[19]</w:t>
      </w:r>
      <w:r w:rsidRPr="00804BC8">
        <w:rPr>
          <w:rFonts w:ascii="Times New Roman" w:hAnsi="Times New Roman"/>
          <w:sz w:val="22"/>
          <w:szCs w:val="22"/>
          <w:lang w:val="en-US" w:bidi="ar-SA"/>
        </w:rPr>
        <w:tab/>
        <w:t>Bemelmans-</w:t>
      </w:r>
      <w:proofErr w:type="spellStart"/>
      <w:r w:rsidRPr="00804BC8">
        <w:rPr>
          <w:rFonts w:ascii="Times New Roman" w:hAnsi="Times New Roman"/>
          <w:sz w:val="22"/>
          <w:szCs w:val="22"/>
          <w:lang w:val="en-US" w:bidi="ar-SA"/>
        </w:rPr>
        <w:t>Videc</w:t>
      </w:r>
      <w:proofErr w:type="spellEnd"/>
      <w:r w:rsidRPr="00804BC8">
        <w:rPr>
          <w:rFonts w:ascii="Times New Roman" w:hAnsi="Times New Roman"/>
          <w:sz w:val="22"/>
          <w:szCs w:val="22"/>
          <w:lang w:val="en-US" w:bidi="ar-SA"/>
        </w:rPr>
        <w:t xml:space="preserve"> M-L, </w:t>
      </w:r>
      <w:proofErr w:type="spellStart"/>
      <w:r w:rsidRPr="00804BC8">
        <w:rPr>
          <w:rFonts w:ascii="Times New Roman" w:hAnsi="Times New Roman"/>
          <w:sz w:val="22"/>
          <w:szCs w:val="22"/>
          <w:lang w:val="en-US" w:bidi="ar-SA"/>
        </w:rPr>
        <w:t>Rist</w:t>
      </w:r>
      <w:proofErr w:type="spellEnd"/>
      <w:r w:rsidRPr="00804BC8">
        <w:rPr>
          <w:rFonts w:ascii="Times New Roman" w:hAnsi="Times New Roman"/>
          <w:sz w:val="22"/>
          <w:szCs w:val="22"/>
          <w:lang w:val="en-US" w:bidi="ar-SA"/>
        </w:rPr>
        <w:t xml:space="preserve"> RC, </w:t>
      </w:r>
      <w:proofErr w:type="spellStart"/>
      <w:r w:rsidRPr="00804BC8">
        <w:rPr>
          <w:rFonts w:ascii="Times New Roman" w:hAnsi="Times New Roman"/>
          <w:sz w:val="22"/>
          <w:szCs w:val="22"/>
          <w:lang w:val="en-US" w:bidi="ar-SA"/>
        </w:rPr>
        <w:t>Vedung</w:t>
      </w:r>
      <w:proofErr w:type="spellEnd"/>
      <w:r w:rsidRPr="00804BC8">
        <w:rPr>
          <w:rFonts w:ascii="Times New Roman" w:hAnsi="Times New Roman"/>
          <w:sz w:val="22"/>
          <w:szCs w:val="22"/>
          <w:lang w:val="en-US" w:bidi="ar-SA"/>
        </w:rPr>
        <w:t xml:space="preserve"> EO. Carrots, sticks and sermons: policy instruments and their evaluation. New Jersey, USA: Transaction Publishers; 1998.</w:t>
      </w:r>
    </w:p>
    <w:p w14:paraId="0BB9A5B7"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[20]</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Iychettira</w:t>
      </w:r>
      <w:proofErr w:type="spellEnd"/>
      <w:r w:rsidRPr="00804BC8">
        <w:rPr>
          <w:rFonts w:ascii="Times New Roman" w:hAnsi="Times New Roman"/>
          <w:sz w:val="22"/>
          <w:szCs w:val="22"/>
          <w:lang w:val="en-US" w:bidi="ar-SA"/>
        </w:rPr>
        <w:t xml:space="preserve"> KK, </w:t>
      </w:r>
      <w:proofErr w:type="spellStart"/>
      <w:r w:rsidRPr="00804BC8">
        <w:rPr>
          <w:rFonts w:ascii="Times New Roman" w:hAnsi="Times New Roman"/>
          <w:sz w:val="22"/>
          <w:szCs w:val="22"/>
          <w:lang w:val="en-US" w:bidi="ar-SA"/>
        </w:rPr>
        <w:t>Hakvoort</w:t>
      </w:r>
      <w:proofErr w:type="spellEnd"/>
      <w:r w:rsidRPr="00804BC8">
        <w:rPr>
          <w:rFonts w:ascii="Times New Roman" w:hAnsi="Times New Roman"/>
          <w:sz w:val="22"/>
          <w:szCs w:val="22"/>
          <w:lang w:val="en-US" w:bidi="ar-SA"/>
        </w:rPr>
        <w:t xml:space="preserve"> RA, Linares P, de </w:t>
      </w:r>
      <w:proofErr w:type="spellStart"/>
      <w:r w:rsidRPr="00804BC8">
        <w:rPr>
          <w:rFonts w:ascii="Times New Roman" w:hAnsi="Times New Roman"/>
          <w:sz w:val="22"/>
          <w:szCs w:val="22"/>
          <w:lang w:val="en-US" w:bidi="ar-SA"/>
        </w:rPr>
        <w:t>Jeu</w:t>
      </w:r>
      <w:proofErr w:type="spellEnd"/>
      <w:r w:rsidRPr="00804BC8">
        <w:rPr>
          <w:rFonts w:ascii="Times New Roman" w:hAnsi="Times New Roman"/>
          <w:sz w:val="22"/>
          <w:szCs w:val="22"/>
          <w:lang w:val="en-US" w:bidi="ar-SA"/>
        </w:rPr>
        <w:t xml:space="preserve"> R. Towards a comprehensive policy for electricity from renewable energy: Designing for social welfare. Appl Energy 2017;187:228–42. doi:10.1016/j.apenergy.2016.11.035.</w:t>
      </w:r>
    </w:p>
    <w:p w14:paraId="6C171BF8"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[21]</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Ringel</w:t>
      </w:r>
      <w:proofErr w:type="spellEnd"/>
      <w:r w:rsidRPr="00804BC8">
        <w:rPr>
          <w:rFonts w:ascii="Times New Roman" w:hAnsi="Times New Roman"/>
          <w:sz w:val="22"/>
          <w:szCs w:val="22"/>
          <w:lang w:val="en-US" w:bidi="ar-SA"/>
        </w:rPr>
        <w:t xml:space="preserve"> M. Fostering the use of renewable energies in the European Union: the race between feed-in tariffs and green certificates. Renew Energy 2006;31:1–17. doi:10.1016/j.renene.2005.03.015.</w:t>
      </w:r>
    </w:p>
    <w:p w14:paraId="4D98E5AA"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[22]</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Wȩdzik</w:t>
      </w:r>
      <w:proofErr w:type="spellEnd"/>
      <w:r w:rsidRPr="00804BC8">
        <w:rPr>
          <w:rFonts w:ascii="Times New Roman" w:hAnsi="Times New Roman"/>
          <w:sz w:val="22"/>
          <w:szCs w:val="22"/>
          <w:lang w:val="en-US" w:bidi="ar-SA"/>
        </w:rPr>
        <w:t xml:space="preserve"> A, </w:t>
      </w:r>
      <w:proofErr w:type="spellStart"/>
      <w:r w:rsidRPr="00804BC8">
        <w:rPr>
          <w:rFonts w:ascii="Times New Roman" w:hAnsi="Times New Roman"/>
          <w:sz w:val="22"/>
          <w:szCs w:val="22"/>
          <w:lang w:val="en-US" w:bidi="ar-SA"/>
        </w:rPr>
        <w:t>Siewierski</w:t>
      </w:r>
      <w:proofErr w:type="spellEnd"/>
      <w:r w:rsidRPr="00804BC8">
        <w:rPr>
          <w:rFonts w:ascii="Times New Roman" w:hAnsi="Times New Roman"/>
          <w:sz w:val="22"/>
          <w:szCs w:val="22"/>
          <w:lang w:val="en-US" w:bidi="ar-SA"/>
        </w:rPr>
        <w:t xml:space="preserve"> T, </w:t>
      </w:r>
      <w:proofErr w:type="spellStart"/>
      <w:r w:rsidRPr="00804BC8">
        <w:rPr>
          <w:rFonts w:ascii="Times New Roman" w:hAnsi="Times New Roman"/>
          <w:sz w:val="22"/>
          <w:szCs w:val="22"/>
          <w:lang w:val="en-US" w:bidi="ar-SA"/>
        </w:rPr>
        <w:t>Szypowski</w:t>
      </w:r>
      <w:proofErr w:type="spellEnd"/>
      <w:r w:rsidRPr="00804BC8">
        <w:rPr>
          <w:rFonts w:ascii="Times New Roman" w:hAnsi="Times New Roman"/>
          <w:sz w:val="22"/>
          <w:szCs w:val="22"/>
          <w:lang w:val="en-US" w:bidi="ar-SA"/>
        </w:rPr>
        <w:t xml:space="preserve"> M. Green certificates market in Poland – the sources of crisis. Renew Sustain Energy Rev 2017;75:490–503. doi:10.1016/j.rser.2016.11.014.</w:t>
      </w:r>
    </w:p>
    <w:p w14:paraId="7DAF8C3C"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[23]</w:t>
      </w:r>
      <w:r w:rsidRPr="00804BC8">
        <w:rPr>
          <w:rFonts w:ascii="Times New Roman" w:hAnsi="Times New Roman"/>
          <w:sz w:val="22"/>
          <w:szCs w:val="22"/>
          <w:lang w:val="en-US" w:bidi="ar-SA"/>
        </w:rPr>
        <w:tab/>
        <w:t xml:space="preserve">Zhang Q, Wang G, Li Y, Li H, McLellan B, Chen S. Substitution effect of renewable portfolio </w:t>
      </w:r>
      <w:r w:rsidRPr="00804BC8">
        <w:rPr>
          <w:rFonts w:ascii="Times New Roman" w:hAnsi="Times New Roman"/>
          <w:sz w:val="22"/>
          <w:szCs w:val="22"/>
          <w:lang w:val="en-US" w:bidi="ar-SA"/>
        </w:rPr>
        <w:lastRenderedPageBreak/>
        <w:t>standards and renewable energy certificate trading for feed-in tariff. Appl Energy 2018;227:426–35. doi:10.1016/j.apenergy.2017.07.118.</w:t>
      </w:r>
    </w:p>
    <w:p w14:paraId="52A3E610"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[24]</w:t>
      </w:r>
      <w:r w:rsidRPr="00804BC8">
        <w:rPr>
          <w:rFonts w:ascii="Times New Roman" w:hAnsi="Times New Roman"/>
          <w:sz w:val="22"/>
          <w:szCs w:val="22"/>
          <w:lang w:val="en-US" w:bidi="ar-SA"/>
        </w:rPr>
        <w:tab/>
        <w:t>del Río P. On evaluating success in complex policy mixes: the case of renewable energy support schemes. Policy Sci 2014;47:267–87. doi:10.1007/s11077-013-9189-7.</w:t>
      </w:r>
    </w:p>
    <w:p w14:paraId="74BDCED9"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[25]</w:t>
      </w:r>
      <w:r w:rsidRPr="00804BC8">
        <w:rPr>
          <w:rFonts w:ascii="Times New Roman" w:hAnsi="Times New Roman"/>
          <w:sz w:val="22"/>
          <w:szCs w:val="22"/>
          <w:lang w:val="en-US" w:bidi="ar-SA"/>
        </w:rPr>
        <w:tab/>
        <w:t>Wang T, Gong Y, Jiang C. A review on promoting share of renewable energy by green-trading mechanisms in power system. Renew Sustain Energy Rev 2014;40:923–9. doi:10.1016/j.rser.2014.08.011.</w:t>
      </w:r>
    </w:p>
    <w:p w14:paraId="30B54F46"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[26]</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Fais</w:t>
      </w:r>
      <w:proofErr w:type="spellEnd"/>
      <w:r w:rsidRPr="00804BC8">
        <w:rPr>
          <w:rFonts w:ascii="Times New Roman" w:hAnsi="Times New Roman"/>
          <w:sz w:val="22"/>
          <w:szCs w:val="22"/>
          <w:lang w:val="en-US" w:bidi="ar-SA"/>
        </w:rPr>
        <w:t xml:space="preserve"> B, </w:t>
      </w:r>
      <w:proofErr w:type="spellStart"/>
      <w:r w:rsidRPr="00804BC8">
        <w:rPr>
          <w:rFonts w:ascii="Times New Roman" w:hAnsi="Times New Roman"/>
          <w:sz w:val="22"/>
          <w:szCs w:val="22"/>
          <w:lang w:val="en-US" w:bidi="ar-SA"/>
        </w:rPr>
        <w:t>Blesl</w:t>
      </w:r>
      <w:proofErr w:type="spellEnd"/>
      <w:r w:rsidRPr="00804BC8">
        <w:rPr>
          <w:rFonts w:ascii="Times New Roman" w:hAnsi="Times New Roman"/>
          <w:sz w:val="22"/>
          <w:szCs w:val="22"/>
          <w:lang w:val="en-US" w:bidi="ar-SA"/>
        </w:rPr>
        <w:t xml:space="preserve"> M, </w:t>
      </w:r>
      <w:proofErr w:type="spellStart"/>
      <w:r w:rsidRPr="00804BC8">
        <w:rPr>
          <w:rFonts w:ascii="Times New Roman" w:hAnsi="Times New Roman"/>
          <w:sz w:val="22"/>
          <w:szCs w:val="22"/>
          <w:lang w:val="en-US" w:bidi="ar-SA"/>
        </w:rPr>
        <w:t>Fahl</w:t>
      </w:r>
      <w:proofErr w:type="spellEnd"/>
      <w:r w:rsidRPr="00804BC8">
        <w:rPr>
          <w:rFonts w:ascii="Times New Roman" w:hAnsi="Times New Roman"/>
          <w:sz w:val="22"/>
          <w:szCs w:val="22"/>
          <w:lang w:val="en-US" w:bidi="ar-SA"/>
        </w:rPr>
        <w:t xml:space="preserve"> U, </w:t>
      </w:r>
      <w:proofErr w:type="spellStart"/>
      <w:r w:rsidRPr="00804BC8">
        <w:rPr>
          <w:rFonts w:ascii="Times New Roman" w:hAnsi="Times New Roman"/>
          <w:sz w:val="22"/>
          <w:szCs w:val="22"/>
          <w:lang w:val="en-US" w:bidi="ar-SA"/>
        </w:rPr>
        <w:t>Voß</w:t>
      </w:r>
      <w:proofErr w:type="spellEnd"/>
      <w:r w:rsidRPr="00804BC8">
        <w:rPr>
          <w:rFonts w:ascii="Times New Roman" w:hAnsi="Times New Roman"/>
          <w:sz w:val="22"/>
          <w:szCs w:val="22"/>
          <w:lang w:val="en-US" w:bidi="ar-SA"/>
        </w:rPr>
        <w:t xml:space="preserve"> A. Comparing different support schemes for renewable electricity in the scope of an energy systems analysis. Appl Energy 2014;131:479–89. doi:10.1016/j.apenergy.2014.06.046.</w:t>
      </w:r>
    </w:p>
    <w:p w14:paraId="36AEEE65"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[27]</w:t>
      </w:r>
      <w:r w:rsidRPr="00804BC8">
        <w:rPr>
          <w:rFonts w:ascii="Times New Roman" w:hAnsi="Times New Roman"/>
          <w:sz w:val="22"/>
          <w:szCs w:val="22"/>
          <w:lang w:val="en-US" w:bidi="ar-SA"/>
        </w:rPr>
        <w:tab/>
        <w:t>Dong Y, Shimada K. Evolution from the renewable portfolio standards to feed-in tariff for the deployment of renewable energy in Japan. Renew Energy 2017;107:590–6. doi:10.1016/j.renene.2017.02.016.</w:t>
      </w:r>
    </w:p>
    <w:p w14:paraId="6FFC7AD8"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[28]</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Abolhosseini</w:t>
      </w:r>
      <w:proofErr w:type="spellEnd"/>
      <w:r w:rsidRPr="00804BC8">
        <w:rPr>
          <w:rFonts w:ascii="Times New Roman" w:hAnsi="Times New Roman"/>
          <w:sz w:val="22"/>
          <w:szCs w:val="22"/>
          <w:lang w:val="en-US" w:bidi="ar-SA"/>
        </w:rPr>
        <w:t xml:space="preserve"> S, </w:t>
      </w:r>
      <w:proofErr w:type="spellStart"/>
      <w:r w:rsidRPr="00804BC8">
        <w:rPr>
          <w:rFonts w:ascii="Times New Roman" w:hAnsi="Times New Roman"/>
          <w:sz w:val="22"/>
          <w:szCs w:val="22"/>
          <w:lang w:val="en-US" w:bidi="ar-SA"/>
        </w:rPr>
        <w:t>Heshmati</w:t>
      </w:r>
      <w:proofErr w:type="spellEnd"/>
      <w:r w:rsidRPr="00804BC8">
        <w:rPr>
          <w:rFonts w:ascii="Times New Roman" w:hAnsi="Times New Roman"/>
          <w:sz w:val="22"/>
          <w:szCs w:val="22"/>
          <w:lang w:val="en-US" w:bidi="ar-SA"/>
        </w:rPr>
        <w:t xml:space="preserve"> A. The main support mechanisms to finance renewable energy development. Renew Sustain Energy Rev 2014;40:876–85. doi:10.1016/j.rser.2014.08.013.</w:t>
      </w:r>
    </w:p>
    <w:p w14:paraId="4401AEB9"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[29]</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Radgen</w:t>
      </w:r>
      <w:proofErr w:type="spellEnd"/>
      <w:r w:rsidRPr="00804BC8">
        <w:rPr>
          <w:rFonts w:ascii="Times New Roman" w:hAnsi="Times New Roman"/>
          <w:sz w:val="22"/>
          <w:szCs w:val="22"/>
          <w:lang w:val="en-US" w:bidi="ar-SA"/>
        </w:rPr>
        <w:t xml:space="preserve"> P, Butterfield J, </w:t>
      </w:r>
      <w:proofErr w:type="spellStart"/>
      <w:r w:rsidRPr="00804BC8">
        <w:rPr>
          <w:rFonts w:ascii="Times New Roman" w:hAnsi="Times New Roman"/>
          <w:sz w:val="22"/>
          <w:szCs w:val="22"/>
          <w:lang w:val="en-US" w:bidi="ar-SA"/>
        </w:rPr>
        <w:t>Rosenow</w:t>
      </w:r>
      <w:proofErr w:type="spellEnd"/>
      <w:r w:rsidRPr="00804BC8">
        <w:rPr>
          <w:rFonts w:ascii="Times New Roman" w:hAnsi="Times New Roman"/>
          <w:sz w:val="22"/>
          <w:szCs w:val="22"/>
          <w:lang w:val="en-US" w:bidi="ar-SA"/>
        </w:rPr>
        <w:t xml:space="preserve"> J. EPS, ETS, Renewable Obligations and Feed in Tariffs – critical reflections on the compatibility of different instruments to combat climate change. Energy Procedia 2011;4:5814–21. doi:10.1016/j.egypro.2011.02.579.</w:t>
      </w:r>
    </w:p>
    <w:p w14:paraId="0F98CB99"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[30]</w:t>
      </w:r>
      <w:r w:rsidRPr="00804BC8">
        <w:rPr>
          <w:rFonts w:ascii="Times New Roman" w:hAnsi="Times New Roman"/>
          <w:sz w:val="22"/>
          <w:szCs w:val="22"/>
          <w:lang w:val="en-US" w:bidi="ar-SA"/>
        </w:rPr>
        <w:tab/>
        <w:t>del Río P. Why does the combination of the European Union emissions trading scheme and a renewable energy target makes economic sense? Renew Sustain Energy Rev 2017;74:824–34. doi:10.1016/j.rser.2017.01.122.</w:t>
      </w:r>
    </w:p>
    <w:p w14:paraId="6E110D5C" w14:textId="07A1B3A3" w:rsidR="009B3FDB" w:rsidRPr="00804BC8" w:rsidRDefault="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[31]</w:t>
      </w:r>
      <w:r w:rsidRPr="00804BC8">
        <w:rPr>
          <w:rFonts w:ascii="Times New Roman" w:hAnsi="Times New Roman"/>
          <w:sz w:val="22"/>
          <w:szCs w:val="22"/>
          <w:lang w:val="en-US" w:bidi="ar-SA"/>
        </w:rPr>
        <w:tab/>
        <w:t xml:space="preserve">Lehmann P, </w:t>
      </w:r>
      <w:proofErr w:type="spellStart"/>
      <w:r w:rsidRPr="00804BC8">
        <w:rPr>
          <w:rFonts w:ascii="Times New Roman" w:hAnsi="Times New Roman"/>
          <w:sz w:val="22"/>
          <w:szCs w:val="22"/>
          <w:lang w:val="en-US" w:bidi="ar-SA"/>
        </w:rPr>
        <w:t>Sijm</w:t>
      </w:r>
      <w:proofErr w:type="spellEnd"/>
      <w:r w:rsidRPr="00804BC8">
        <w:rPr>
          <w:rFonts w:ascii="Times New Roman" w:hAnsi="Times New Roman"/>
          <w:sz w:val="22"/>
          <w:szCs w:val="22"/>
          <w:lang w:val="en-US" w:bidi="ar-SA"/>
        </w:rPr>
        <w:t xml:space="preserve"> J, </w:t>
      </w:r>
      <w:proofErr w:type="spellStart"/>
      <w:r w:rsidRPr="00804BC8">
        <w:rPr>
          <w:rFonts w:ascii="Times New Roman" w:hAnsi="Times New Roman"/>
          <w:sz w:val="22"/>
          <w:szCs w:val="22"/>
          <w:lang w:val="en-US" w:bidi="ar-SA"/>
        </w:rPr>
        <w:t>Gawel</w:t>
      </w:r>
      <w:proofErr w:type="spellEnd"/>
      <w:r w:rsidRPr="00804BC8">
        <w:rPr>
          <w:rFonts w:ascii="Times New Roman" w:hAnsi="Times New Roman"/>
          <w:sz w:val="22"/>
          <w:szCs w:val="22"/>
          <w:lang w:val="en-US" w:bidi="ar-SA"/>
        </w:rPr>
        <w:t xml:space="preserve"> E, </w:t>
      </w:r>
      <w:proofErr w:type="spellStart"/>
      <w:r w:rsidRPr="00804BC8">
        <w:rPr>
          <w:rFonts w:ascii="Times New Roman" w:hAnsi="Times New Roman"/>
          <w:sz w:val="22"/>
          <w:szCs w:val="22"/>
          <w:lang w:val="en-US" w:bidi="ar-SA"/>
        </w:rPr>
        <w:t>Strunz</w:t>
      </w:r>
      <w:proofErr w:type="spellEnd"/>
      <w:r w:rsidRPr="00804BC8">
        <w:rPr>
          <w:rFonts w:ascii="Times New Roman" w:hAnsi="Times New Roman"/>
          <w:sz w:val="22"/>
          <w:szCs w:val="22"/>
          <w:lang w:val="en-US" w:bidi="ar-SA"/>
        </w:rPr>
        <w:t xml:space="preserve"> S, </w:t>
      </w:r>
      <w:proofErr w:type="spellStart"/>
      <w:r w:rsidRPr="00804BC8">
        <w:rPr>
          <w:rFonts w:ascii="Times New Roman" w:hAnsi="Times New Roman"/>
          <w:sz w:val="22"/>
          <w:szCs w:val="22"/>
          <w:lang w:val="en-US" w:bidi="ar-SA"/>
        </w:rPr>
        <w:t>Chewpreecha</w:t>
      </w:r>
      <w:proofErr w:type="spellEnd"/>
      <w:r w:rsidRPr="00804BC8">
        <w:rPr>
          <w:rFonts w:ascii="Times New Roman" w:hAnsi="Times New Roman"/>
          <w:sz w:val="22"/>
          <w:szCs w:val="22"/>
          <w:lang w:val="en-US" w:bidi="ar-SA"/>
        </w:rPr>
        <w:t xml:space="preserve"> U, Mercure J-F, </w:t>
      </w:r>
      <w:r w:rsidR="009B3FDB" w:rsidRPr="009B3FDB">
        <w:rPr>
          <w:rFonts w:ascii="Times New Roman" w:hAnsi="Times New Roman"/>
          <w:sz w:val="22"/>
          <w:szCs w:val="22"/>
          <w:lang w:val="en-US" w:bidi="ar-SA"/>
        </w:rPr>
        <w:t>Pollitt H</w:t>
      </w:r>
      <w:r w:rsidRPr="00804BC8">
        <w:rPr>
          <w:rFonts w:ascii="Times New Roman" w:hAnsi="Times New Roman"/>
          <w:sz w:val="22"/>
          <w:szCs w:val="22"/>
          <w:lang w:val="en-US" w:bidi="ar-SA"/>
        </w:rPr>
        <w:t>. Addressing multiple externalities from electricity generation: a case for EU renewable energy policy beyond 2020? Environ Econ Policy Stud 2018:pp29. doi:10.1007/s10018-018-0229-6.</w:t>
      </w:r>
    </w:p>
    <w:p w14:paraId="42865394"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[32]</w:t>
      </w:r>
      <w:r w:rsidRPr="00804BC8">
        <w:rPr>
          <w:rFonts w:ascii="Times New Roman" w:hAnsi="Times New Roman"/>
          <w:sz w:val="22"/>
          <w:szCs w:val="22"/>
          <w:lang w:val="en-US" w:bidi="ar-SA"/>
        </w:rPr>
        <w:tab/>
        <w:t>Lin W, Gu A, Liu B, Wang X. Emission trading scheme and feed-in tariff policy in China: alternative or integrated? Energy Procedia 2014;61:1323–6. doi:10.1016/j.egypro.2014.11.1091.</w:t>
      </w:r>
    </w:p>
    <w:p w14:paraId="36412FCE"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[33]</w:t>
      </w:r>
      <w:r w:rsidRPr="00804BC8">
        <w:rPr>
          <w:rFonts w:ascii="Times New Roman" w:hAnsi="Times New Roman"/>
          <w:sz w:val="22"/>
          <w:szCs w:val="22"/>
          <w:lang w:val="en-US" w:bidi="ar-SA"/>
        </w:rPr>
        <w:tab/>
        <w:t>Wu J, Albrecht J, Fan Y, Xia Y. The design of renewable support schemes and CO</w:t>
      </w:r>
      <w:r w:rsidRPr="00DF581B">
        <w:rPr>
          <w:rFonts w:ascii="Times New Roman" w:hAnsi="Times New Roman"/>
          <w:sz w:val="22"/>
          <w:szCs w:val="22"/>
          <w:vertAlign w:val="subscript"/>
          <w:lang w:val="en-US" w:bidi="ar-SA"/>
        </w:rPr>
        <w:t>2</w:t>
      </w:r>
      <w:r w:rsidRPr="00804BC8">
        <w:rPr>
          <w:rFonts w:ascii="Times New Roman" w:hAnsi="Times New Roman"/>
          <w:sz w:val="22"/>
          <w:szCs w:val="22"/>
          <w:lang w:val="en-US" w:bidi="ar-SA"/>
        </w:rPr>
        <w:t xml:space="preserve"> emissions in China. Energy Policy 2016;99:4–11. doi:10.1016/j.enpol.2016.09.045.</w:t>
      </w:r>
    </w:p>
    <w:p w14:paraId="7DD3BFE8"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[34]</w:t>
      </w:r>
      <w:r w:rsidRPr="00804BC8">
        <w:rPr>
          <w:rFonts w:ascii="Times New Roman" w:hAnsi="Times New Roman"/>
          <w:sz w:val="22"/>
          <w:szCs w:val="22"/>
          <w:lang w:val="en-US" w:bidi="ar-SA"/>
        </w:rPr>
        <w:tab/>
        <w:t>Bird L, Chapman C, Logan J, Sumner J, Short W. Evaluating renewable portfolio standards and carbon cap scenarios in the US electric sector. Energy Policy 2011;39:2573–85. doi:10.1016/j.enpol.2011.02.025.</w:t>
      </w:r>
    </w:p>
    <w:p w14:paraId="3F7631D3"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[35]</w:t>
      </w:r>
      <w:r w:rsidRPr="00804BC8">
        <w:rPr>
          <w:rFonts w:ascii="Times New Roman" w:hAnsi="Times New Roman"/>
          <w:sz w:val="22"/>
          <w:szCs w:val="22"/>
          <w:lang w:val="en-US" w:bidi="ar-SA"/>
        </w:rPr>
        <w:tab/>
        <w:t xml:space="preserve">Tu Q, Mo JL. Coordinating carbon pricing policy and renewable energy policy with a case study in China. </w:t>
      </w:r>
      <w:proofErr w:type="spellStart"/>
      <w:r w:rsidRPr="00804BC8">
        <w:rPr>
          <w:rFonts w:ascii="Times New Roman" w:hAnsi="Times New Roman"/>
          <w:sz w:val="22"/>
          <w:szCs w:val="22"/>
          <w:lang w:val="en-US" w:bidi="ar-SA"/>
        </w:rPr>
        <w:t>Comput</w:t>
      </w:r>
      <w:proofErr w:type="spellEnd"/>
      <w:r w:rsidRPr="00804BC8">
        <w:rPr>
          <w:rFonts w:ascii="Times New Roman" w:hAnsi="Times New Roman"/>
          <w:sz w:val="22"/>
          <w:szCs w:val="22"/>
          <w:lang w:val="en-US" w:bidi="ar-SA"/>
        </w:rPr>
        <w:t xml:space="preserve"> Ind </w:t>
      </w:r>
      <w:proofErr w:type="spellStart"/>
      <w:r w:rsidRPr="00804BC8">
        <w:rPr>
          <w:rFonts w:ascii="Times New Roman" w:hAnsi="Times New Roman"/>
          <w:sz w:val="22"/>
          <w:szCs w:val="22"/>
          <w:lang w:val="en-US" w:bidi="ar-SA"/>
        </w:rPr>
        <w:t>Eng</w:t>
      </w:r>
      <w:proofErr w:type="spellEnd"/>
      <w:r w:rsidRPr="00804BC8">
        <w:rPr>
          <w:rFonts w:ascii="Times New Roman" w:hAnsi="Times New Roman"/>
          <w:sz w:val="22"/>
          <w:szCs w:val="22"/>
          <w:lang w:val="en-US" w:bidi="ar-SA"/>
        </w:rPr>
        <w:t xml:space="preserve"> 2017;113:294–304. doi:10.1016/j.cie.2017.09.026.</w:t>
      </w:r>
    </w:p>
    <w:p w14:paraId="34623FF3"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[36]</w:t>
      </w:r>
      <w:r w:rsidRPr="00804BC8">
        <w:rPr>
          <w:rFonts w:ascii="Times New Roman" w:hAnsi="Times New Roman"/>
          <w:sz w:val="22"/>
          <w:szCs w:val="22"/>
          <w:lang w:val="en-US" w:bidi="ar-SA"/>
        </w:rPr>
        <w:tab/>
        <w:t>Wu J, Fan Y, Xia Y. How can China achieve its Nationally Determined Contribution targets combining emissions trading scheme and renewable energy policies? Energies 2017;10. doi:10.3390/en10081166.</w:t>
      </w:r>
    </w:p>
    <w:p w14:paraId="383C0E04"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[37]</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Weigt</w:t>
      </w:r>
      <w:proofErr w:type="spellEnd"/>
      <w:r w:rsidRPr="00804BC8">
        <w:rPr>
          <w:rFonts w:ascii="Times New Roman" w:hAnsi="Times New Roman"/>
          <w:sz w:val="22"/>
          <w:szCs w:val="22"/>
          <w:lang w:val="en-US" w:bidi="ar-SA"/>
        </w:rPr>
        <w:t xml:space="preserve"> H, Ellerman D, </w:t>
      </w:r>
      <w:proofErr w:type="spellStart"/>
      <w:r w:rsidRPr="00804BC8">
        <w:rPr>
          <w:rFonts w:ascii="Times New Roman" w:hAnsi="Times New Roman"/>
          <w:sz w:val="22"/>
          <w:szCs w:val="22"/>
          <w:lang w:val="en-US" w:bidi="ar-SA"/>
        </w:rPr>
        <w:t>Delarue</w:t>
      </w:r>
      <w:proofErr w:type="spellEnd"/>
      <w:r w:rsidRPr="00804BC8">
        <w:rPr>
          <w:rFonts w:ascii="Times New Roman" w:hAnsi="Times New Roman"/>
          <w:sz w:val="22"/>
          <w:szCs w:val="22"/>
          <w:lang w:val="en-US" w:bidi="ar-SA"/>
        </w:rPr>
        <w:t xml:space="preserve"> E. CO</w:t>
      </w:r>
      <w:r w:rsidRPr="00DF581B">
        <w:rPr>
          <w:rFonts w:ascii="Times New Roman" w:hAnsi="Times New Roman"/>
          <w:sz w:val="22"/>
          <w:szCs w:val="22"/>
          <w:vertAlign w:val="subscript"/>
          <w:lang w:val="en-US" w:bidi="ar-SA"/>
        </w:rPr>
        <w:t>2</w:t>
      </w:r>
      <w:r w:rsidRPr="00804BC8">
        <w:rPr>
          <w:rFonts w:ascii="Times New Roman" w:hAnsi="Times New Roman"/>
          <w:sz w:val="22"/>
          <w:szCs w:val="22"/>
          <w:lang w:val="en-US" w:bidi="ar-SA"/>
        </w:rPr>
        <w:t xml:space="preserve"> abatement from renewables in the German electricity sector: does a CO</w:t>
      </w:r>
      <w:r w:rsidRPr="00DF581B">
        <w:rPr>
          <w:rFonts w:ascii="Times New Roman" w:hAnsi="Times New Roman"/>
          <w:sz w:val="22"/>
          <w:szCs w:val="22"/>
          <w:vertAlign w:val="subscript"/>
          <w:lang w:val="en-US" w:bidi="ar-SA"/>
        </w:rPr>
        <w:t>2</w:t>
      </w:r>
      <w:r w:rsidRPr="00804BC8">
        <w:rPr>
          <w:rFonts w:ascii="Times New Roman" w:hAnsi="Times New Roman"/>
          <w:sz w:val="22"/>
          <w:szCs w:val="22"/>
          <w:lang w:val="en-US" w:bidi="ar-SA"/>
        </w:rPr>
        <w:t xml:space="preserve"> price help? Energy Econ 2013;40:S149–58. doi:10.1016/j.eneco.2013.09.013.</w:t>
      </w:r>
    </w:p>
    <w:p w14:paraId="72F286E4" w14:textId="77777777" w:rsidR="00804BC8" w:rsidRPr="00804BC8" w:rsidRDefault="00804BC8" w:rsidP="00804BC8">
      <w:pPr>
        <w:widowControl w:val="0"/>
        <w:autoSpaceDE w:val="0"/>
        <w:autoSpaceDN w:val="0"/>
        <w:adjustRightInd w:val="0"/>
        <w:ind w:left="640" w:hanging="640"/>
        <w:jc w:val="both"/>
        <w:rPr>
          <w:rFonts w:ascii="Times New Roman" w:hAnsi="Times New Roman"/>
          <w:sz w:val="22"/>
          <w:szCs w:val="22"/>
          <w:lang w:val="en-US" w:bidi="ar-SA"/>
        </w:rPr>
      </w:pPr>
      <w:r w:rsidRPr="00804BC8">
        <w:rPr>
          <w:rFonts w:ascii="Times New Roman" w:hAnsi="Times New Roman"/>
          <w:sz w:val="22"/>
          <w:szCs w:val="22"/>
          <w:lang w:val="en-US" w:bidi="ar-SA"/>
        </w:rPr>
        <w:t>[38]</w:t>
      </w:r>
      <w:r w:rsidRPr="00804BC8">
        <w:rPr>
          <w:rFonts w:ascii="Times New Roman" w:hAnsi="Times New Roman"/>
          <w:sz w:val="22"/>
          <w:szCs w:val="22"/>
          <w:lang w:val="en-US" w:bidi="ar-SA"/>
        </w:rPr>
        <w:tab/>
      </w:r>
      <w:proofErr w:type="spellStart"/>
      <w:r w:rsidRPr="00804BC8">
        <w:rPr>
          <w:rFonts w:ascii="Times New Roman" w:hAnsi="Times New Roman"/>
          <w:sz w:val="22"/>
          <w:szCs w:val="22"/>
          <w:lang w:val="en-US" w:bidi="ar-SA"/>
        </w:rPr>
        <w:t>Duscha</w:t>
      </w:r>
      <w:proofErr w:type="spellEnd"/>
      <w:r w:rsidRPr="00804BC8">
        <w:rPr>
          <w:rFonts w:ascii="Times New Roman" w:hAnsi="Times New Roman"/>
          <w:sz w:val="22"/>
          <w:szCs w:val="22"/>
          <w:lang w:val="en-US" w:bidi="ar-SA"/>
        </w:rPr>
        <w:t xml:space="preserve"> V, del Río P. An economic analysis of the interactions between renewable support and other climate and energy policies. Energy Environ 2017;28:11–33. doi:10.1177/0958305X16685456.</w:t>
      </w:r>
    </w:p>
    <w:p w14:paraId="16F3A00D" w14:textId="5D2DD80E" w:rsidR="00C44DD2" w:rsidRPr="00D523C8" w:rsidRDefault="00C44DD2" w:rsidP="002D35D2">
      <w:pPr>
        <w:widowControl w:val="0"/>
        <w:autoSpaceDE w:val="0"/>
        <w:autoSpaceDN w:val="0"/>
        <w:adjustRightInd w:val="0"/>
        <w:ind w:left="640" w:hanging="640"/>
        <w:jc w:val="both"/>
        <w:rPr>
          <w:rFonts w:ascii="Times New Roman" w:hAnsi="Times New Roman"/>
          <w:lang w:val="en-US" w:bidi="ar-SA"/>
        </w:rPr>
      </w:pPr>
    </w:p>
    <w:sectPr w:rsidR="00C44DD2" w:rsidRPr="00D523C8" w:rsidSect="007746FA">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2427D" w14:textId="77777777" w:rsidR="00871B20" w:rsidRDefault="00871B20" w:rsidP="00EE46EE">
      <w:r>
        <w:separator/>
      </w:r>
    </w:p>
  </w:endnote>
  <w:endnote w:type="continuationSeparator" w:id="0">
    <w:p w14:paraId="52F47BFE" w14:textId="77777777" w:rsidR="00871B20" w:rsidRDefault="00871B20" w:rsidP="00EE4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Uighur">
    <w:panose1 w:val="02000000000000000000"/>
    <w:charset w:val="B2"/>
    <w:family w:val="auto"/>
    <w:pitch w:val="variable"/>
    <w:sig w:usb0="8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54D9E" w14:textId="77777777" w:rsidR="0076341A" w:rsidRPr="00CD7E4D" w:rsidRDefault="0076341A">
    <w:pPr>
      <w:pStyle w:val="Footer"/>
      <w:jc w:val="center"/>
      <w:rPr>
        <w:rFonts w:ascii="Times New Roman" w:hAnsi="Times New Roman" w:cs="Times New Roman"/>
        <w:caps/>
        <w:noProof/>
        <w:sz w:val="20"/>
        <w:szCs w:val="20"/>
      </w:rPr>
    </w:pPr>
    <w:r w:rsidRPr="00CD7E4D">
      <w:rPr>
        <w:rFonts w:ascii="Times New Roman" w:hAnsi="Times New Roman" w:cs="Times New Roman"/>
        <w:caps/>
        <w:sz w:val="20"/>
        <w:szCs w:val="20"/>
      </w:rPr>
      <w:fldChar w:fldCharType="begin"/>
    </w:r>
    <w:r w:rsidRPr="00CD7E4D">
      <w:rPr>
        <w:rFonts w:ascii="Times New Roman" w:hAnsi="Times New Roman" w:cs="Times New Roman"/>
        <w:caps/>
        <w:sz w:val="20"/>
        <w:szCs w:val="20"/>
      </w:rPr>
      <w:instrText xml:space="preserve"> PAGE   \* MERGEFORMAT </w:instrText>
    </w:r>
    <w:r w:rsidRPr="00CD7E4D">
      <w:rPr>
        <w:rFonts w:ascii="Times New Roman" w:hAnsi="Times New Roman" w:cs="Times New Roman"/>
        <w:caps/>
        <w:sz w:val="20"/>
        <w:szCs w:val="20"/>
      </w:rPr>
      <w:fldChar w:fldCharType="separate"/>
    </w:r>
    <w:r>
      <w:rPr>
        <w:rFonts w:ascii="Times New Roman" w:hAnsi="Times New Roman" w:cs="Times New Roman"/>
        <w:caps/>
        <w:noProof/>
        <w:sz w:val="20"/>
        <w:szCs w:val="20"/>
      </w:rPr>
      <w:t>8</w:t>
    </w:r>
    <w:r w:rsidRPr="00CD7E4D">
      <w:rPr>
        <w:rFonts w:ascii="Times New Roman" w:hAnsi="Times New Roman" w:cs="Times New Roman"/>
        <w:caps/>
        <w:noProof/>
        <w:sz w:val="20"/>
        <w:szCs w:val="20"/>
      </w:rPr>
      <w:fldChar w:fldCharType="end"/>
    </w:r>
  </w:p>
  <w:p w14:paraId="0D6F8B41" w14:textId="77777777" w:rsidR="0076341A" w:rsidRDefault="00763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C2984" w14:textId="77777777" w:rsidR="00871B20" w:rsidRDefault="00871B20" w:rsidP="00EE46EE">
      <w:r>
        <w:separator/>
      </w:r>
    </w:p>
  </w:footnote>
  <w:footnote w:type="continuationSeparator" w:id="0">
    <w:p w14:paraId="7BFBA1CA" w14:textId="77777777" w:rsidR="00871B20" w:rsidRDefault="00871B20" w:rsidP="00EE46EE">
      <w:r>
        <w:continuationSeparator/>
      </w:r>
    </w:p>
  </w:footnote>
  <w:footnote w:id="1">
    <w:p w14:paraId="70C07084" w14:textId="77777777" w:rsidR="00A146AB" w:rsidRPr="003C79C8" w:rsidRDefault="00A146AB" w:rsidP="00A146AB">
      <w:pPr>
        <w:pStyle w:val="FootnoteText"/>
        <w:rPr>
          <w:rFonts w:ascii="Times New Roman" w:hAnsi="Times New Roman" w:cs="Times New Roman"/>
        </w:rPr>
      </w:pPr>
      <w:r w:rsidRPr="003C79C8">
        <w:rPr>
          <w:rStyle w:val="FootnoteReference"/>
          <w:rFonts w:ascii="Times New Roman" w:hAnsi="Times New Roman" w:cs="Times New Roman"/>
        </w:rPr>
        <w:footnoteRef/>
      </w:r>
      <w:r w:rsidRPr="003C79C8">
        <w:rPr>
          <w:rFonts w:ascii="Times New Roman" w:hAnsi="Times New Roman" w:cs="Times New Roman"/>
        </w:rPr>
        <w:t xml:space="preserve"> Corresponding author: </w:t>
      </w:r>
      <w:r>
        <w:rPr>
          <w:rFonts w:ascii="Times New Roman" w:hAnsi="Times New Roman" w:cs="Times New Roman"/>
        </w:rPr>
        <w:t xml:space="preserve">Araz Taeihagh, </w:t>
      </w:r>
      <w:r w:rsidRPr="003C79C8">
        <w:rPr>
          <w:rFonts w:ascii="Times New Roman" w:hAnsi="Times New Roman" w:cs="Times New Roman"/>
        </w:rPr>
        <w:t xml:space="preserve">Lee Kuan Yew School of Public Policy, National University of Singapore, 469B Bukit </w:t>
      </w:r>
      <w:proofErr w:type="spellStart"/>
      <w:r w:rsidRPr="003C79C8">
        <w:rPr>
          <w:rFonts w:ascii="Times New Roman" w:hAnsi="Times New Roman" w:cs="Times New Roman"/>
        </w:rPr>
        <w:t>Timah</w:t>
      </w:r>
      <w:proofErr w:type="spellEnd"/>
      <w:r w:rsidRPr="003C79C8">
        <w:rPr>
          <w:rFonts w:ascii="Times New Roman" w:hAnsi="Times New Roman" w:cs="Times New Roman"/>
        </w:rPr>
        <w:t xml:space="preserve"> Road, Li Ka </w:t>
      </w:r>
      <w:proofErr w:type="spellStart"/>
      <w:r w:rsidRPr="003C79C8">
        <w:rPr>
          <w:rFonts w:ascii="Times New Roman" w:hAnsi="Times New Roman" w:cs="Times New Roman"/>
        </w:rPr>
        <w:t>Shing</w:t>
      </w:r>
      <w:proofErr w:type="spellEnd"/>
      <w:r w:rsidRPr="003C79C8">
        <w:rPr>
          <w:rFonts w:ascii="Times New Roman" w:hAnsi="Times New Roman" w:cs="Times New Roman"/>
        </w:rPr>
        <w:t xml:space="preserve"> Building, Level 2, #02-10, Singapore 259771 Email: </w:t>
      </w:r>
      <w:hyperlink r:id="rId1" w:history="1">
        <w:r w:rsidRPr="003C79C8">
          <w:rPr>
            <w:rStyle w:val="Hyperlink"/>
            <w:rFonts w:ascii="Times New Roman" w:hAnsi="Times New Roman" w:cs="Times New Roman"/>
          </w:rPr>
          <w:t>spparaz@nus.edu.sg</w:t>
        </w:r>
      </w:hyperlink>
      <w:r w:rsidRPr="003C79C8">
        <w:rPr>
          <w:rFonts w:ascii="Times New Roman" w:hAnsi="Times New Roman" w:cs="Times New Roman"/>
        </w:rPr>
        <w:t xml:space="preserve">  and </w:t>
      </w:r>
      <w:hyperlink r:id="rId2" w:history="1">
        <w:r w:rsidRPr="003C79C8">
          <w:rPr>
            <w:rStyle w:val="Hyperlink"/>
            <w:rFonts w:ascii="Times New Roman" w:hAnsi="Times New Roman" w:cs="Times New Roman"/>
          </w:rPr>
          <w:t>araz.taeihagh@new.oxon.org</w:t>
        </w:r>
      </w:hyperlink>
    </w:p>
  </w:footnote>
  <w:footnote w:id="2">
    <w:p w14:paraId="47FA998C" w14:textId="77777777" w:rsidR="0076341A" w:rsidRPr="001B7D15" w:rsidRDefault="0076341A" w:rsidP="00EE46EE">
      <w:pPr>
        <w:pStyle w:val="FootnoteText"/>
        <w:jc w:val="both"/>
        <w:rPr>
          <w:rFonts w:ascii="Times New Roman" w:hAnsi="Times New Roman" w:cs="Times New Roman"/>
          <w:sz w:val="18"/>
          <w:szCs w:val="18"/>
        </w:rPr>
      </w:pPr>
      <w:r w:rsidRPr="00632159">
        <w:rPr>
          <w:rStyle w:val="FootnoteReference"/>
        </w:rPr>
        <w:footnoteRef/>
      </w:r>
      <w:r w:rsidRPr="001B7D15">
        <w:rPr>
          <w:rFonts w:ascii="Times New Roman" w:hAnsi="Times New Roman" w:cs="Times New Roman"/>
          <w:sz w:val="18"/>
          <w:szCs w:val="18"/>
        </w:rPr>
        <w:t xml:space="preserve"> The dataset can be found at </w:t>
      </w:r>
      <w:hyperlink r:id="rId3" w:history="1">
        <w:r w:rsidRPr="001B7D15">
          <w:rPr>
            <w:rStyle w:val="Hyperlink"/>
            <w:rFonts w:ascii="Times New Roman" w:hAnsi="Times New Roman" w:cs="Times New Roman"/>
            <w:sz w:val="18"/>
            <w:szCs w:val="18"/>
          </w:rPr>
          <w:t>http://www.pkulaw.cn</w:t>
        </w:r>
      </w:hyperlink>
      <w:r w:rsidRPr="001B7D15">
        <w:rPr>
          <w:rFonts w:ascii="Times New Roman" w:hAnsi="Times New Roman" w:cs="Times New Roman"/>
          <w:sz w:val="18"/>
          <w:szCs w:val="18"/>
        </w:rPr>
        <w:t xml:space="preserve">. </w:t>
      </w:r>
    </w:p>
  </w:footnote>
  <w:footnote w:id="3">
    <w:p w14:paraId="6166DFE4" w14:textId="427A8BAF" w:rsidR="0076341A" w:rsidRPr="001B7D15" w:rsidRDefault="0076341A" w:rsidP="00A33133">
      <w:pPr>
        <w:pStyle w:val="FootnoteText"/>
        <w:jc w:val="both"/>
        <w:rPr>
          <w:rFonts w:ascii="Times New Roman" w:hAnsi="Times New Roman" w:cs="Times New Roman"/>
          <w:sz w:val="18"/>
          <w:szCs w:val="18"/>
        </w:rPr>
      </w:pPr>
      <w:r w:rsidRPr="00632159">
        <w:rPr>
          <w:rStyle w:val="FootnoteReference"/>
        </w:rPr>
        <w:footnoteRef/>
      </w:r>
      <w:r w:rsidRPr="001B7D15">
        <w:rPr>
          <w:rFonts w:ascii="Times New Roman" w:hAnsi="Times New Roman" w:cs="Times New Roman"/>
          <w:sz w:val="18"/>
          <w:szCs w:val="18"/>
        </w:rPr>
        <w:t xml:space="preserve"> </w:t>
      </w:r>
      <w:r w:rsidRPr="001B7D15">
        <w:rPr>
          <w:rFonts w:ascii="Times New Roman" w:hAnsi="Times New Roman" w:cs="Times New Roman"/>
          <w:color w:val="000000" w:themeColor="text1"/>
          <w:sz w:val="18"/>
          <w:szCs w:val="18"/>
        </w:rPr>
        <w:t xml:space="preserve">In the </w:t>
      </w:r>
      <w:r w:rsidRPr="00AC73D7">
        <w:rPr>
          <w:rFonts w:ascii="Times New Roman" w:hAnsi="Times New Roman" w:cs="Times New Roman"/>
          <w:color w:val="000000" w:themeColor="text1"/>
          <w:sz w:val="18"/>
          <w:szCs w:val="18"/>
        </w:rPr>
        <w:t>State Council</w:t>
      </w:r>
      <w:r>
        <w:rPr>
          <w:rFonts w:ascii="Times New Roman" w:hAnsi="Times New Roman" w:cs="Times New Roman"/>
          <w:color w:val="000000" w:themeColor="text1"/>
          <w:sz w:val="18"/>
          <w:szCs w:val="18"/>
        </w:rPr>
        <w:t>’</w:t>
      </w:r>
      <w:r w:rsidRPr="00AC73D7">
        <w:rPr>
          <w:rFonts w:ascii="Times New Roman" w:hAnsi="Times New Roman" w:cs="Times New Roman"/>
          <w:color w:val="000000" w:themeColor="text1"/>
          <w:sz w:val="18"/>
          <w:szCs w:val="18"/>
        </w:rPr>
        <w:t>s</w:t>
      </w:r>
      <w:r w:rsidRPr="00DB6473">
        <w:rPr>
          <w:rFonts w:ascii="Times New Roman" w:hAnsi="Times New Roman" w:cs="Times New Roman"/>
          <w:color w:val="000000" w:themeColor="text1"/>
          <w:sz w:val="18"/>
          <w:szCs w:val="18"/>
        </w:rPr>
        <w:t xml:space="preserve"> </w:t>
      </w:r>
      <w:r w:rsidRPr="00AC73D7">
        <w:rPr>
          <w:rFonts w:ascii="Times New Roman" w:hAnsi="Times New Roman" w:cs="Times New Roman"/>
          <w:color w:val="000000" w:themeColor="text1"/>
          <w:sz w:val="18"/>
          <w:szCs w:val="18"/>
        </w:rPr>
        <w:t>Reply to the Issues about Acid Rain Control Zone and SO</w:t>
      </w:r>
      <w:r w:rsidRPr="00AC73D7">
        <w:rPr>
          <w:rFonts w:ascii="Times New Roman" w:hAnsi="Times New Roman" w:cs="Times New Roman"/>
          <w:color w:val="000000" w:themeColor="text1"/>
          <w:sz w:val="18"/>
          <w:szCs w:val="18"/>
          <w:vertAlign w:val="subscript"/>
        </w:rPr>
        <w:t>2</w:t>
      </w:r>
      <w:r w:rsidRPr="00AC73D7">
        <w:rPr>
          <w:rFonts w:ascii="Times New Roman" w:hAnsi="Times New Roman" w:cs="Times New Roman"/>
          <w:color w:val="000000" w:themeColor="text1"/>
          <w:sz w:val="18"/>
          <w:szCs w:val="18"/>
        </w:rPr>
        <w:t xml:space="preserve"> Emission Control Zone,</w:t>
      </w:r>
      <w:r w:rsidRPr="001B7D15">
        <w:rPr>
          <w:rFonts w:ascii="Times New Roman" w:hAnsi="Times New Roman" w:cs="Times New Roman"/>
          <w:i/>
          <w:color w:val="000000" w:themeColor="text1"/>
          <w:sz w:val="18"/>
          <w:szCs w:val="18"/>
        </w:rPr>
        <w:t xml:space="preserve"> </w:t>
      </w:r>
      <w:r w:rsidRPr="001B7D15">
        <w:rPr>
          <w:rFonts w:ascii="Times New Roman" w:hAnsi="Times New Roman" w:cs="Times New Roman"/>
          <w:color w:val="000000" w:themeColor="text1"/>
          <w:sz w:val="18"/>
          <w:szCs w:val="18"/>
        </w:rPr>
        <w:t xml:space="preserve">effective from April 1996. </w:t>
      </w:r>
    </w:p>
  </w:footnote>
  <w:footnote w:id="4">
    <w:p w14:paraId="42A81109" w14:textId="77777777" w:rsidR="0076341A" w:rsidRPr="001B7D15" w:rsidRDefault="0076341A" w:rsidP="00A33133">
      <w:pPr>
        <w:pStyle w:val="FootnoteText"/>
        <w:jc w:val="both"/>
        <w:rPr>
          <w:rFonts w:ascii="Times New Roman" w:hAnsi="Times New Roman" w:cs="Times New Roman"/>
          <w:sz w:val="18"/>
          <w:szCs w:val="18"/>
        </w:rPr>
      </w:pPr>
      <w:r w:rsidRPr="00632159">
        <w:rPr>
          <w:rStyle w:val="FootnoteReference"/>
        </w:rPr>
        <w:footnoteRef/>
      </w:r>
      <w:r w:rsidRPr="001B7D15">
        <w:rPr>
          <w:rFonts w:ascii="Times New Roman" w:hAnsi="Times New Roman" w:cs="Times New Roman"/>
          <w:sz w:val="18"/>
          <w:szCs w:val="18"/>
        </w:rPr>
        <w:t xml:space="preserve"> </w:t>
      </w:r>
      <w:r>
        <w:rPr>
          <w:rFonts w:ascii="Times New Roman" w:hAnsi="Times New Roman" w:cs="Times New Roman"/>
          <w:sz w:val="18"/>
          <w:szCs w:val="18"/>
        </w:rPr>
        <w:t>The n</w:t>
      </w:r>
      <w:r w:rsidRPr="001B7D15">
        <w:rPr>
          <w:rFonts w:ascii="Times New Roman" w:hAnsi="Times New Roman" w:cs="Times New Roman"/>
          <w:sz w:val="18"/>
          <w:szCs w:val="18"/>
        </w:rPr>
        <w:t xml:space="preserve">ine cities </w:t>
      </w:r>
      <w:r>
        <w:rPr>
          <w:rFonts w:ascii="Times New Roman" w:hAnsi="Times New Roman" w:cs="Times New Roman"/>
          <w:sz w:val="18"/>
          <w:szCs w:val="18"/>
        </w:rPr>
        <w:t>were</w:t>
      </w:r>
      <w:r w:rsidRPr="001B7D15">
        <w:rPr>
          <w:rFonts w:ascii="Times New Roman" w:hAnsi="Times New Roman" w:cs="Times New Roman"/>
          <w:sz w:val="18"/>
          <w:szCs w:val="18"/>
        </w:rPr>
        <w:t xml:space="preserve"> Baotou, Kaiyuan, Liuzhou, Taiyuan, </w:t>
      </w:r>
      <w:proofErr w:type="spellStart"/>
      <w:r w:rsidRPr="001B7D15">
        <w:rPr>
          <w:rFonts w:ascii="Times New Roman" w:hAnsi="Times New Roman" w:cs="Times New Roman"/>
          <w:sz w:val="18"/>
          <w:szCs w:val="18"/>
        </w:rPr>
        <w:t>Pingdingshan</w:t>
      </w:r>
      <w:proofErr w:type="spellEnd"/>
      <w:r w:rsidRPr="001B7D15">
        <w:rPr>
          <w:rFonts w:ascii="Times New Roman" w:hAnsi="Times New Roman" w:cs="Times New Roman"/>
          <w:sz w:val="18"/>
          <w:szCs w:val="18"/>
        </w:rPr>
        <w:t xml:space="preserve">, Guiyang, Shanghai, Tianjin and Liuzhou. </w:t>
      </w:r>
      <w:r>
        <w:rPr>
          <w:rFonts w:ascii="Times New Roman" w:hAnsi="Times New Roman" w:cs="Times New Roman"/>
          <w:sz w:val="18"/>
          <w:szCs w:val="18"/>
        </w:rPr>
        <w:t>The f</w:t>
      </w:r>
      <w:r w:rsidRPr="001B7D15">
        <w:rPr>
          <w:rFonts w:ascii="Times New Roman" w:hAnsi="Times New Roman" w:cs="Times New Roman"/>
          <w:sz w:val="18"/>
          <w:szCs w:val="18"/>
        </w:rPr>
        <w:t xml:space="preserve">our provinces </w:t>
      </w:r>
      <w:r>
        <w:rPr>
          <w:rFonts w:ascii="Times New Roman" w:hAnsi="Times New Roman" w:cs="Times New Roman"/>
          <w:sz w:val="18"/>
          <w:szCs w:val="18"/>
        </w:rPr>
        <w:t>were</w:t>
      </w:r>
      <w:r w:rsidRPr="001B7D15">
        <w:rPr>
          <w:rFonts w:ascii="Times New Roman" w:hAnsi="Times New Roman" w:cs="Times New Roman"/>
          <w:sz w:val="18"/>
          <w:szCs w:val="18"/>
        </w:rPr>
        <w:t xml:space="preserve"> Shandong, Jiangxi, Shanxi and Henan. </w:t>
      </w:r>
    </w:p>
  </w:footnote>
  <w:footnote w:id="5">
    <w:p w14:paraId="44A24CA1" w14:textId="77777777" w:rsidR="0076341A" w:rsidRPr="001B7D15" w:rsidRDefault="0076341A" w:rsidP="00A33133">
      <w:pPr>
        <w:pStyle w:val="FootnoteText"/>
        <w:jc w:val="both"/>
        <w:rPr>
          <w:rFonts w:ascii="Times New Roman" w:hAnsi="Times New Roman" w:cs="Times New Roman"/>
        </w:rPr>
      </w:pPr>
      <w:r w:rsidRPr="00632159">
        <w:rPr>
          <w:rStyle w:val="FootnoteReference"/>
        </w:rPr>
        <w:footnoteRef/>
      </w:r>
      <w:r w:rsidRPr="001B7D15">
        <w:rPr>
          <w:rFonts w:ascii="Times New Roman" w:hAnsi="Times New Roman" w:cs="Times New Roman"/>
        </w:rPr>
        <w:t xml:space="preserve"> CO</w:t>
      </w:r>
      <w:r w:rsidRPr="001B7D15">
        <w:rPr>
          <w:rFonts w:ascii="Times New Roman" w:hAnsi="Times New Roman" w:cs="Times New Roman"/>
          <w:vertAlign w:val="subscript"/>
        </w:rPr>
        <w:t>2</w:t>
      </w:r>
      <w:r w:rsidRPr="001B7D15">
        <w:rPr>
          <w:rFonts w:ascii="Times New Roman" w:hAnsi="Times New Roman" w:cs="Times New Roman"/>
        </w:rPr>
        <w:t xml:space="preserve"> emission intensity here refers to CO</w:t>
      </w:r>
      <w:r w:rsidRPr="001B7D15">
        <w:rPr>
          <w:rFonts w:ascii="Times New Roman" w:hAnsi="Times New Roman" w:cs="Times New Roman"/>
          <w:vertAlign w:val="subscript"/>
        </w:rPr>
        <w:t>2</w:t>
      </w:r>
      <w:r w:rsidRPr="001B7D15">
        <w:rPr>
          <w:rFonts w:ascii="Times New Roman" w:hAnsi="Times New Roman" w:cs="Times New Roman"/>
        </w:rPr>
        <w:t xml:space="preserve"> emission produced per unit of gross domestic product (GDP). </w:t>
      </w:r>
    </w:p>
  </w:footnote>
  <w:footnote w:id="6">
    <w:p w14:paraId="21628578" w14:textId="173A1E07" w:rsidR="0076341A" w:rsidRPr="001B7D15" w:rsidRDefault="0076341A" w:rsidP="00CC3536">
      <w:pPr>
        <w:pStyle w:val="FootnoteText"/>
        <w:rPr>
          <w:rFonts w:ascii="Times New Roman" w:hAnsi="Times New Roman" w:cs="Times New Roman"/>
          <w:sz w:val="18"/>
          <w:szCs w:val="18"/>
        </w:rPr>
      </w:pPr>
      <w:r w:rsidRPr="00632159">
        <w:rPr>
          <w:rStyle w:val="FootnoteReference"/>
        </w:rPr>
        <w:footnoteRef/>
      </w:r>
      <w:r w:rsidRPr="001B7D15">
        <w:rPr>
          <w:rFonts w:ascii="Times New Roman" w:hAnsi="Times New Roman" w:cs="Times New Roman"/>
          <w:sz w:val="18"/>
          <w:szCs w:val="18"/>
        </w:rPr>
        <w:t xml:space="preserve"> </w:t>
      </w:r>
      <w:r>
        <w:rPr>
          <w:rFonts w:ascii="Times New Roman" w:hAnsi="Times New Roman" w:cs="Times New Roman"/>
          <w:sz w:val="18"/>
          <w:szCs w:val="18"/>
        </w:rPr>
        <w:t>I</w:t>
      </w:r>
      <w:r w:rsidRPr="001B7D15">
        <w:rPr>
          <w:rFonts w:ascii="Times New Roman" w:hAnsi="Times New Roman" w:cs="Times New Roman"/>
          <w:sz w:val="18"/>
          <w:szCs w:val="18"/>
        </w:rPr>
        <w:t xml:space="preserve">nformation can be found at the </w:t>
      </w:r>
      <w:r>
        <w:rPr>
          <w:rFonts w:ascii="Times New Roman" w:hAnsi="Times New Roman" w:cs="Times New Roman"/>
          <w:sz w:val="18"/>
          <w:szCs w:val="18"/>
        </w:rPr>
        <w:t xml:space="preserve">MEE </w:t>
      </w:r>
      <w:r w:rsidRPr="001B7D15">
        <w:rPr>
          <w:rFonts w:ascii="Times New Roman" w:hAnsi="Times New Roman" w:cs="Times New Roman"/>
          <w:sz w:val="18"/>
          <w:szCs w:val="18"/>
        </w:rPr>
        <w:t>website: http://english.mee.gov.cn/News_service/news_release/201804/t20180419_434955.shtml</w:t>
      </w:r>
      <w:r>
        <w:rPr>
          <w:rFonts w:ascii="Times New Roman" w:hAnsi="Times New Roman" w:cs="Times New Roman"/>
          <w:sz w:val="18"/>
          <w:szCs w:val="18"/>
        </w:rPr>
        <w:t>.</w:t>
      </w:r>
    </w:p>
  </w:footnote>
  <w:footnote w:id="7">
    <w:p w14:paraId="5BA72349" w14:textId="0489CEFF" w:rsidR="0076341A" w:rsidRPr="001B7D15" w:rsidRDefault="0076341A" w:rsidP="00CC3536">
      <w:pPr>
        <w:pStyle w:val="FootnoteText"/>
        <w:jc w:val="both"/>
        <w:rPr>
          <w:rFonts w:ascii="Times New Roman" w:hAnsi="Times New Roman" w:cs="Times New Roman"/>
          <w:sz w:val="16"/>
        </w:rPr>
      </w:pPr>
      <w:r w:rsidRPr="00632159">
        <w:rPr>
          <w:rStyle w:val="FootnoteReference"/>
        </w:rPr>
        <w:footnoteRef/>
      </w:r>
      <w:r w:rsidRPr="001B7D15">
        <w:rPr>
          <w:rFonts w:ascii="Times New Roman" w:hAnsi="Times New Roman" w:cs="Times New Roman"/>
          <w:sz w:val="18"/>
          <w:szCs w:val="18"/>
        </w:rPr>
        <w:t xml:space="preserve"> </w:t>
      </w:r>
      <w:r>
        <w:rPr>
          <w:rFonts w:ascii="Times New Roman" w:hAnsi="Times New Roman" w:cs="Times New Roman"/>
          <w:sz w:val="18"/>
          <w:szCs w:val="18"/>
        </w:rPr>
        <w:t>P</w:t>
      </w:r>
      <w:r w:rsidRPr="001B7D15">
        <w:rPr>
          <w:rFonts w:ascii="Times New Roman" w:hAnsi="Times New Roman" w:cs="Times New Roman"/>
          <w:sz w:val="18"/>
          <w:szCs w:val="18"/>
        </w:rPr>
        <w:t>art of the institutional reform of the State Council in 2018. The institutional reform aim</w:t>
      </w:r>
      <w:r>
        <w:rPr>
          <w:rFonts w:ascii="Times New Roman" w:hAnsi="Times New Roman" w:cs="Times New Roman"/>
          <w:sz w:val="18"/>
          <w:szCs w:val="18"/>
        </w:rPr>
        <w:t>ed</w:t>
      </w:r>
      <w:r w:rsidRPr="001B7D15">
        <w:rPr>
          <w:rFonts w:ascii="Times New Roman" w:hAnsi="Times New Roman" w:cs="Times New Roman"/>
          <w:sz w:val="18"/>
          <w:szCs w:val="18"/>
        </w:rPr>
        <w:t xml:space="preserve"> to improve the efficiency of the government institutions, enhancing public service provision and improving environmental protection policies.</w:t>
      </w:r>
      <w:r w:rsidRPr="001B7D15">
        <w:rPr>
          <w:rFonts w:ascii="Times New Roman" w:hAnsi="Times New Roman" w:cs="Times New Roman"/>
          <w:sz w:val="16"/>
          <w:szCs w:val="16"/>
        </w:rPr>
        <w:t xml:space="preserve"> </w:t>
      </w:r>
    </w:p>
  </w:footnote>
  <w:footnote w:id="8">
    <w:p w14:paraId="3601876E" w14:textId="77777777" w:rsidR="0076341A" w:rsidRPr="00AC73D7" w:rsidRDefault="0076341A" w:rsidP="00CC3536">
      <w:pPr>
        <w:pStyle w:val="FootnoteText"/>
        <w:jc w:val="both"/>
        <w:rPr>
          <w:rFonts w:ascii="Times New Roman" w:hAnsi="Times New Roman" w:cs="Times New Roman"/>
        </w:rPr>
      </w:pPr>
      <w:r w:rsidRPr="00632159">
        <w:rPr>
          <w:rStyle w:val="FootnoteReference"/>
        </w:rPr>
        <w:footnoteRef/>
      </w:r>
      <w:r w:rsidRPr="00AC73D7">
        <w:rPr>
          <w:rFonts w:ascii="Times New Roman" w:hAnsi="Times New Roman" w:cs="Times New Roman"/>
        </w:rPr>
        <w:t xml:space="preserve"> </w:t>
      </w:r>
      <w:r w:rsidRPr="00DF6F97">
        <w:rPr>
          <w:rFonts w:ascii="Times New Roman" w:hAnsi="Times New Roman" w:cs="Times New Roman"/>
          <w:sz w:val="18"/>
          <w:szCs w:val="18"/>
        </w:rPr>
        <w:t>The electricity price premium is applicable to those plants that have emission concentrations of PM (diameter&lt;</w:t>
      </w:r>
      <w:r w:rsidRPr="00DF6F97">
        <w:rPr>
          <w:rFonts w:ascii="Times New Roman" w:eastAsia="Times New Roman" w:hAnsi="Times New Roman" w:cs="Times New Roman"/>
          <w:color w:val="000000"/>
          <w:sz w:val="18"/>
          <w:szCs w:val="18"/>
        </w:rPr>
        <w:t>&lt;0.1µm</w:t>
      </w:r>
      <w:r w:rsidRPr="00DF6F97">
        <w:rPr>
          <w:rFonts w:ascii="Times New Roman" w:hAnsi="Times New Roman" w:cs="Times New Roman"/>
          <w:sz w:val="18"/>
          <w:szCs w:val="18"/>
        </w:rPr>
        <w:t>), NOx and SO</w:t>
      </w:r>
      <w:r w:rsidRPr="00DF6F97">
        <w:rPr>
          <w:rFonts w:ascii="Times New Roman" w:hAnsi="Times New Roman" w:cs="Times New Roman"/>
          <w:sz w:val="18"/>
          <w:szCs w:val="18"/>
          <w:vertAlign w:val="subscript"/>
        </w:rPr>
        <w:t>2</w:t>
      </w:r>
      <w:r w:rsidRPr="00DF6F97">
        <w:rPr>
          <w:rFonts w:ascii="Times New Roman" w:hAnsi="Times New Roman" w:cs="Times New Roman"/>
          <w:sz w:val="18"/>
          <w:szCs w:val="18"/>
        </w:rPr>
        <w:t xml:space="preserve"> less than 10mg/Nm</w:t>
      </w:r>
      <w:r w:rsidRPr="00DF6F97">
        <w:rPr>
          <w:rFonts w:ascii="Times New Roman" w:hAnsi="Times New Roman" w:cs="Times New Roman"/>
          <w:sz w:val="18"/>
          <w:szCs w:val="18"/>
          <w:vertAlign w:val="superscript"/>
        </w:rPr>
        <w:t>3</w:t>
      </w:r>
      <w:r w:rsidRPr="00DF6F97">
        <w:rPr>
          <w:rFonts w:ascii="Times New Roman" w:hAnsi="Times New Roman" w:cs="Times New Roman"/>
          <w:sz w:val="18"/>
          <w:szCs w:val="18"/>
        </w:rPr>
        <w:t>, 35mg/Nm</w:t>
      </w:r>
      <w:r w:rsidRPr="00DF6F97">
        <w:rPr>
          <w:rFonts w:ascii="Times New Roman" w:hAnsi="Times New Roman" w:cs="Times New Roman"/>
          <w:sz w:val="18"/>
          <w:szCs w:val="18"/>
          <w:vertAlign w:val="superscript"/>
        </w:rPr>
        <w:t>3</w:t>
      </w:r>
      <w:r w:rsidRPr="00DF6F97">
        <w:rPr>
          <w:rFonts w:ascii="Times New Roman" w:hAnsi="Times New Roman" w:cs="Times New Roman"/>
          <w:sz w:val="18"/>
          <w:szCs w:val="18"/>
        </w:rPr>
        <w:t xml:space="preserve"> and 50mg/Nm</w:t>
      </w:r>
      <w:r w:rsidRPr="00DF6F97">
        <w:rPr>
          <w:rFonts w:ascii="Times New Roman" w:hAnsi="Times New Roman" w:cs="Times New Roman"/>
          <w:sz w:val="18"/>
          <w:szCs w:val="18"/>
          <w:vertAlign w:val="superscript"/>
        </w:rPr>
        <w:t>3</w:t>
      </w:r>
      <w:r w:rsidRPr="00DF6F97">
        <w:rPr>
          <w:rFonts w:ascii="Times New Roman" w:hAnsi="Times New Roman" w:cs="Times New Roman"/>
          <w:sz w:val="18"/>
          <w:szCs w:val="18"/>
        </w:rPr>
        <w:t xml:space="preserve"> under the condition of 6% oxygen content.</w:t>
      </w:r>
    </w:p>
  </w:footnote>
  <w:footnote w:id="9">
    <w:p w14:paraId="75D7B222" w14:textId="76A5C691" w:rsidR="0076341A" w:rsidRPr="001B7D15" w:rsidRDefault="0076341A" w:rsidP="00071B18">
      <w:pPr>
        <w:pStyle w:val="FootnoteText"/>
        <w:jc w:val="both"/>
        <w:rPr>
          <w:rFonts w:ascii="Times New Roman" w:hAnsi="Times New Roman" w:cs="Times New Roman"/>
          <w:sz w:val="18"/>
          <w:szCs w:val="18"/>
        </w:rPr>
      </w:pPr>
      <w:r w:rsidRPr="00632159">
        <w:rPr>
          <w:rStyle w:val="FootnoteReference"/>
        </w:rPr>
        <w:footnoteRef/>
      </w:r>
      <w:r w:rsidRPr="001B7D15">
        <w:rPr>
          <w:rFonts w:ascii="Times New Roman" w:hAnsi="Times New Roman" w:cs="Times New Roman"/>
          <w:sz w:val="18"/>
          <w:szCs w:val="18"/>
        </w:rPr>
        <w:t xml:space="preserve"> The retail price = the on-grid electricity price + transmission price + renewable energy surcharge &amp; government funds +</w:t>
      </w:r>
      <w:r>
        <w:rPr>
          <w:rFonts w:ascii="Times New Roman" w:hAnsi="Times New Roman" w:cs="Times New Roman"/>
          <w:sz w:val="18"/>
          <w:szCs w:val="18"/>
        </w:rPr>
        <w:t xml:space="preserve"> </w:t>
      </w:r>
      <w:r w:rsidRPr="001B7D15">
        <w:rPr>
          <w:rFonts w:ascii="Times New Roman" w:hAnsi="Times New Roman" w:cs="Times New Roman"/>
          <w:sz w:val="18"/>
          <w:szCs w:val="18"/>
        </w:rPr>
        <w:t>taxes</w:t>
      </w:r>
      <w:r>
        <w:rPr>
          <w:rFonts w:ascii="Times New Roman" w:hAnsi="Times New Roman" w:cs="Times New Roman"/>
          <w:sz w:val="18"/>
          <w:szCs w:val="1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A04"/>
    <w:rsid w:val="000018F7"/>
    <w:rsid w:val="00004666"/>
    <w:rsid w:val="000051F6"/>
    <w:rsid w:val="000118F7"/>
    <w:rsid w:val="00023AA5"/>
    <w:rsid w:val="000440EA"/>
    <w:rsid w:val="000479B5"/>
    <w:rsid w:val="0006694E"/>
    <w:rsid w:val="00071B18"/>
    <w:rsid w:val="00086A83"/>
    <w:rsid w:val="0009094D"/>
    <w:rsid w:val="00093049"/>
    <w:rsid w:val="00096776"/>
    <w:rsid w:val="000A49F2"/>
    <w:rsid w:val="000B5CB7"/>
    <w:rsid w:val="000C0074"/>
    <w:rsid w:val="000F2AF3"/>
    <w:rsid w:val="000F505E"/>
    <w:rsid w:val="0010138C"/>
    <w:rsid w:val="00110031"/>
    <w:rsid w:val="00127F50"/>
    <w:rsid w:val="00136D92"/>
    <w:rsid w:val="00144D41"/>
    <w:rsid w:val="0015094D"/>
    <w:rsid w:val="00156ECC"/>
    <w:rsid w:val="0016488A"/>
    <w:rsid w:val="0016629B"/>
    <w:rsid w:val="001662E9"/>
    <w:rsid w:val="00171E2E"/>
    <w:rsid w:val="001733A6"/>
    <w:rsid w:val="001868FD"/>
    <w:rsid w:val="00187EEC"/>
    <w:rsid w:val="001911C1"/>
    <w:rsid w:val="001929D5"/>
    <w:rsid w:val="00195A00"/>
    <w:rsid w:val="001B579C"/>
    <w:rsid w:val="001B7A98"/>
    <w:rsid w:val="001C2664"/>
    <w:rsid w:val="001C27FD"/>
    <w:rsid w:val="001C47DB"/>
    <w:rsid w:val="001C6C9E"/>
    <w:rsid w:val="001F239C"/>
    <w:rsid w:val="00200CAF"/>
    <w:rsid w:val="0021235B"/>
    <w:rsid w:val="002125B1"/>
    <w:rsid w:val="00243B8B"/>
    <w:rsid w:val="002457E2"/>
    <w:rsid w:val="002521E8"/>
    <w:rsid w:val="00256DD5"/>
    <w:rsid w:val="00260D37"/>
    <w:rsid w:val="002649B4"/>
    <w:rsid w:val="00265238"/>
    <w:rsid w:val="0026617C"/>
    <w:rsid w:val="00283DA7"/>
    <w:rsid w:val="002B43BD"/>
    <w:rsid w:val="002C2901"/>
    <w:rsid w:val="002D35D2"/>
    <w:rsid w:val="002E5DAB"/>
    <w:rsid w:val="002E7CFE"/>
    <w:rsid w:val="00307ADB"/>
    <w:rsid w:val="00323117"/>
    <w:rsid w:val="003334D2"/>
    <w:rsid w:val="00345B75"/>
    <w:rsid w:val="00346E73"/>
    <w:rsid w:val="00365F25"/>
    <w:rsid w:val="003738B1"/>
    <w:rsid w:val="0038463C"/>
    <w:rsid w:val="003A5CBC"/>
    <w:rsid w:val="003A6F66"/>
    <w:rsid w:val="003B1625"/>
    <w:rsid w:val="003B745A"/>
    <w:rsid w:val="003D4F91"/>
    <w:rsid w:val="003E0D60"/>
    <w:rsid w:val="003E4271"/>
    <w:rsid w:val="003E5059"/>
    <w:rsid w:val="00401FE7"/>
    <w:rsid w:val="00407DA1"/>
    <w:rsid w:val="00415540"/>
    <w:rsid w:val="00440AEA"/>
    <w:rsid w:val="00443E55"/>
    <w:rsid w:val="00456CAA"/>
    <w:rsid w:val="00465E57"/>
    <w:rsid w:val="00496938"/>
    <w:rsid w:val="004A1F01"/>
    <w:rsid w:val="004A37D5"/>
    <w:rsid w:val="004A4F46"/>
    <w:rsid w:val="004B1B48"/>
    <w:rsid w:val="004C0DD5"/>
    <w:rsid w:val="004E0219"/>
    <w:rsid w:val="004E4B98"/>
    <w:rsid w:val="004F07CE"/>
    <w:rsid w:val="004F2980"/>
    <w:rsid w:val="004F782C"/>
    <w:rsid w:val="00500CFF"/>
    <w:rsid w:val="0051195A"/>
    <w:rsid w:val="005144F4"/>
    <w:rsid w:val="00522EBB"/>
    <w:rsid w:val="00527F0F"/>
    <w:rsid w:val="00530482"/>
    <w:rsid w:val="005407E0"/>
    <w:rsid w:val="005779C0"/>
    <w:rsid w:val="00584C1D"/>
    <w:rsid w:val="005902B3"/>
    <w:rsid w:val="005959C3"/>
    <w:rsid w:val="005A1A29"/>
    <w:rsid w:val="005C210D"/>
    <w:rsid w:val="005C4A04"/>
    <w:rsid w:val="005C5928"/>
    <w:rsid w:val="005C7113"/>
    <w:rsid w:val="005E3AC8"/>
    <w:rsid w:val="00632159"/>
    <w:rsid w:val="00667B5A"/>
    <w:rsid w:val="006864B5"/>
    <w:rsid w:val="0069082C"/>
    <w:rsid w:val="006961C1"/>
    <w:rsid w:val="006A57B3"/>
    <w:rsid w:val="006E1210"/>
    <w:rsid w:val="006E39E2"/>
    <w:rsid w:val="006E4BB9"/>
    <w:rsid w:val="006E7821"/>
    <w:rsid w:val="006F221E"/>
    <w:rsid w:val="006F416D"/>
    <w:rsid w:val="006F60E1"/>
    <w:rsid w:val="0071318B"/>
    <w:rsid w:val="00722D55"/>
    <w:rsid w:val="00724231"/>
    <w:rsid w:val="00730AD8"/>
    <w:rsid w:val="00730B4D"/>
    <w:rsid w:val="00732861"/>
    <w:rsid w:val="007336C5"/>
    <w:rsid w:val="007374E6"/>
    <w:rsid w:val="007440F0"/>
    <w:rsid w:val="0075069E"/>
    <w:rsid w:val="0075442D"/>
    <w:rsid w:val="0076341A"/>
    <w:rsid w:val="007746FA"/>
    <w:rsid w:val="00792000"/>
    <w:rsid w:val="00796C59"/>
    <w:rsid w:val="007A35BD"/>
    <w:rsid w:val="007B619D"/>
    <w:rsid w:val="007B69D1"/>
    <w:rsid w:val="007C3522"/>
    <w:rsid w:val="007C7E76"/>
    <w:rsid w:val="007D5917"/>
    <w:rsid w:val="00802E60"/>
    <w:rsid w:val="00804BC8"/>
    <w:rsid w:val="00807847"/>
    <w:rsid w:val="008135A9"/>
    <w:rsid w:val="008265CB"/>
    <w:rsid w:val="0083360F"/>
    <w:rsid w:val="00847021"/>
    <w:rsid w:val="00847A81"/>
    <w:rsid w:val="00847F84"/>
    <w:rsid w:val="00851409"/>
    <w:rsid w:val="00852E19"/>
    <w:rsid w:val="00857E30"/>
    <w:rsid w:val="00871B20"/>
    <w:rsid w:val="008748D3"/>
    <w:rsid w:val="008B5C8A"/>
    <w:rsid w:val="008C1874"/>
    <w:rsid w:val="008D05F9"/>
    <w:rsid w:val="008D578E"/>
    <w:rsid w:val="008D5D76"/>
    <w:rsid w:val="008E0877"/>
    <w:rsid w:val="008E3763"/>
    <w:rsid w:val="0090514D"/>
    <w:rsid w:val="00943ED1"/>
    <w:rsid w:val="009517B0"/>
    <w:rsid w:val="00962B83"/>
    <w:rsid w:val="00970903"/>
    <w:rsid w:val="00970ADF"/>
    <w:rsid w:val="00973A0C"/>
    <w:rsid w:val="00973E54"/>
    <w:rsid w:val="00977989"/>
    <w:rsid w:val="009937B1"/>
    <w:rsid w:val="009B1C3C"/>
    <w:rsid w:val="009B3FDB"/>
    <w:rsid w:val="00A146AB"/>
    <w:rsid w:val="00A16287"/>
    <w:rsid w:val="00A20920"/>
    <w:rsid w:val="00A33133"/>
    <w:rsid w:val="00A401D3"/>
    <w:rsid w:val="00A42ECF"/>
    <w:rsid w:val="00A52004"/>
    <w:rsid w:val="00A70B7F"/>
    <w:rsid w:val="00A77EA5"/>
    <w:rsid w:val="00A823F2"/>
    <w:rsid w:val="00A91631"/>
    <w:rsid w:val="00AB2BF0"/>
    <w:rsid w:val="00AC5E67"/>
    <w:rsid w:val="00AD046A"/>
    <w:rsid w:val="00AD3156"/>
    <w:rsid w:val="00AE3909"/>
    <w:rsid w:val="00AF09BB"/>
    <w:rsid w:val="00AF31E5"/>
    <w:rsid w:val="00B26B66"/>
    <w:rsid w:val="00B34DB9"/>
    <w:rsid w:val="00B373CB"/>
    <w:rsid w:val="00B405FC"/>
    <w:rsid w:val="00B429CB"/>
    <w:rsid w:val="00B632A1"/>
    <w:rsid w:val="00B6454D"/>
    <w:rsid w:val="00B718F5"/>
    <w:rsid w:val="00B94ED1"/>
    <w:rsid w:val="00B9542C"/>
    <w:rsid w:val="00BB3C5E"/>
    <w:rsid w:val="00BB67FA"/>
    <w:rsid w:val="00BD679D"/>
    <w:rsid w:val="00BF6982"/>
    <w:rsid w:val="00BF79F3"/>
    <w:rsid w:val="00C24504"/>
    <w:rsid w:val="00C24F6C"/>
    <w:rsid w:val="00C30612"/>
    <w:rsid w:val="00C44DD2"/>
    <w:rsid w:val="00C46424"/>
    <w:rsid w:val="00C72CAA"/>
    <w:rsid w:val="00C72D8B"/>
    <w:rsid w:val="00C7322D"/>
    <w:rsid w:val="00C769D1"/>
    <w:rsid w:val="00C87918"/>
    <w:rsid w:val="00C968F4"/>
    <w:rsid w:val="00CB1801"/>
    <w:rsid w:val="00CC1CD2"/>
    <w:rsid w:val="00CC3536"/>
    <w:rsid w:val="00CD63CF"/>
    <w:rsid w:val="00CD76E6"/>
    <w:rsid w:val="00CE04CD"/>
    <w:rsid w:val="00CF2A9B"/>
    <w:rsid w:val="00CF3DDE"/>
    <w:rsid w:val="00CF6E21"/>
    <w:rsid w:val="00D04FB9"/>
    <w:rsid w:val="00D179F4"/>
    <w:rsid w:val="00D23C8C"/>
    <w:rsid w:val="00D26C75"/>
    <w:rsid w:val="00D51743"/>
    <w:rsid w:val="00D523C8"/>
    <w:rsid w:val="00D52B03"/>
    <w:rsid w:val="00D61021"/>
    <w:rsid w:val="00D6348D"/>
    <w:rsid w:val="00D90522"/>
    <w:rsid w:val="00D9379D"/>
    <w:rsid w:val="00DB6E71"/>
    <w:rsid w:val="00DC38F0"/>
    <w:rsid w:val="00DD6A4A"/>
    <w:rsid w:val="00DE703C"/>
    <w:rsid w:val="00DE7805"/>
    <w:rsid w:val="00DF581B"/>
    <w:rsid w:val="00E07FBF"/>
    <w:rsid w:val="00E14A75"/>
    <w:rsid w:val="00E1555C"/>
    <w:rsid w:val="00E212B1"/>
    <w:rsid w:val="00E22449"/>
    <w:rsid w:val="00E245C2"/>
    <w:rsid w:val="00E259BF"/>
    <w:rsid w:val="00E302A5"/>
    <w:rsid w:val="00E32A5D"/>
    <w:rsid w:val="00E32D54"/>
    <w:rsid w:val="00E36302"/>
    <w:rsid w:val="00E53307"/>
    <w:rsid w:val="00E63316"/>
    <w:rsid w:val="00E66E28"/>
    <w:rsid w:val="00E72F09"/>
    <w:rsid w:val="00E82090"/>
    <w:rsid w:val="00EC30A1"/>
    <w:rsid w:val="00EC61DC"/>
    <w:rsid w:val="00EE3E3B"/>
    <w:rsid w:val="00EE46EE"/>
    <w:rsid w:val="00EF2AF2"/>
    <w:rsid w:val="00EF6E45"/>
    <w:rsid w:val="00F03D07"/>
    <w:rsid w:val="00F15C5F"/>
    <w:rsid w:val="00F357B9"/>
    <w:rsid w:val="00F365F9"/>
    <w:rsid w:val="00F36F68"/>
    <w:rsid w:val="00F37AF2"/>
    <w:rsid w:val="00F429A5"/>
    <w:rsid w:val="00F5494A"/>
    <w:rsid w:val="00F73DD3"/>
    <w:rsid w:val="00F77341"/>
    <w:rsid w:val="00F84CC0"/>
    <w:rsid w:val="00F97F42"/>
    <w:rsid w:val="00FA5F67"/>
    <w:rsid w:val="00FB210E"/>
    <w:rsid w:val="00FB57C5"/>
    <w:rsid w:val="00FC138D"/>
    <w:rsid w:val="00FC1EB7"/>
    <w:rsid w:val="00FC492B"/>
    <w:rsid w:val="00FE41FA"/>
    <w:rsid w:val="00FE5EBD"/>
  </w:rsids>
  <m:mathPr>
    <m:mathFont m:val="Cambria Math"/>
    <m:brkBin m:val="before"/>
    <m:brkBinSub m:val="--"/>
    <m:smallFrac m:val="0"/>
    <m:dispDef/>
    <m:lMargin m:val="0"/>
    <m:rMargin m:val="0"/>
    <m:defJc m:val="centerGroup"/>
    <m:wrapIndent m:val="1440"/>
    <m:intLim m:val="subSup"/>
    <m:naryLim m:val="undOvr"/>
  </m:mathPr>
  <w:themeFontLang w:val="de-CH"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95090"/>
  <w15:chartTrackingRefBased/>
  <w15:docId w15:val="{505C8DE0-806A-824F-88FB-5FDAFC91A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CH" w:eastAsia="zh-CN" w:bidi="ug-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15094D"/>
    <w:pPr>
      <w:keepNext/>
      <w:keepLines/>
      <w:spacing w:before="240"/>
      <w:outlineLvl w:val="0"/>
    </w:pPr>
    <w:rPr>
      <w:rFonts w:asciiTheme="majorHAnsi" w:eastAsiaTheme="majorEastAsia" w:hAnsiTheme="majorHAnsi" w:cstheme="majorBidi"/>
      <w:color w:val="2F5496" w:themeColor="accent1" w:themeShade="BF"/>
      <w:sz w:val="32"/>
      <w:szCs w:val="32"/>
      <w:lang w:val="en-US" w:bidi="ar-SA"/>
    </w:rPr>
  </w:style>
  <w:style w:type="paragraph" w:styleId="Heading2">
    <w:name w:val="heading 2"/>
    <w:basedOn w:val="Normal"/>
    <w:next w:val="Normal"/>
    <w:link w:val="Heading2Char"/>
    <w:uiPriority w:val="9"/>
    <w:unhideWhenUsed/>
    <w:qFormat/>
    <w:rsid w:val="00E53307"/>
    <w:pPr>
      <w:keepNext/>
      <w:keepLines/>
      <w:spacing w:before="40"/>
      <w:outlineLvl w:val="1"/>
    </w:pPr>
    <w:rPr>
      <w:rFonts w:asciiTheme="majorHAnsi" w:eastAsiaTheme="majorEastAsia" w:hAnsiTheme="majorHAnsi" w:cstheme="majorBidi"/>
      <w:color w:val="2F5496" w:themeColor="accent1" w:themeShade="BF"/>
      <w:sz w:val="26"/>
      <w:szCs w:val="26"/>
      <w:lang w:val="en-US" w:bidi="ar-SA"/>
    </w:rPr>
  </w:style>
  <w:style w:type="paragraph" w:styleId="Heading3">
    <w:name w:val="heading 3"/>
    <w:basedOn w:val="Normal"/>
    <w:next w:val="Normal"/>
    <w:link w:val="Heading3Char"/>
    <w:uiPriority w:val="9"/>
    <w:unhideWhenUsed/>
    <w:qFormat/>
    <w:rsid w:val="00A33133"/>
    <w:pPr>
      <w:keepNext/>
      <w:keepLines/>
      <w:spacing w:before="40"/>
      <w:outlineLvl w:val="2"/>
    </w:pPr>
    <w:rPr>
      <w:rFonts w:asciiTheme="majorHAnsi" w:eastAsiaTheme="majorEastAsia" w:hAnsiTheme="majorHAnsi" w:cstheme="majorBidi"/>
      <w:color w:val="1F3763" w:themeColor="accent1" w:themeShade="7F"/>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94D"/>
    <w:rPr>
      <w:rFonts w:asciiTheme="majorHAnsi" w:eastAsiaTheme="majorEastAsia" w:hAnsiTheme="majorHAnsi" w:cstheme="majorBidi"/>
      <w:color w:val="2F5496" w:themeColor="accent1" w:themeShade="BF"/>
      <w:sz w:val="32"/>
      <w:szCs w:val="32"/>
      <w:lang w:val="en-US" w:bidi="ar-SA"/>
    </w:rPr>
  </w:style>
  <w:style w:type="paragraph" w:styleId="FootnoteText">
    <w:name w:val="footnote text"/>
    <w:basedOn w:val="Normal"/>
    <w:link w:val="FootnoteTextChar"/>
    <w:uiPriority w:val="99"/>
    <w:unhideWhenUsed/>
    <w:rsid w:val="0038463C"/>
    <w:rPr>
      <w:rFonts w:cstheme="minorBidi"/>
      <w:sz w:val="20"/>
      <w:szCs w:val="20"/>
      <w:lang w:val="en-US" w:bidi="ar-SA"/>
    </w:rPr>
  </w:style>
  <w:style w:type="character" w:customStyle="1" w:styleId="FootnoteTextChar">
    <w:name w:val="Footnote Text Char"/>
    <w:basedOn w:val="DefaultParagraphFont"/>
    <w:link w:val="FootnoteText"/>
    <w:uiPriority w:val="99"/>
    <w:rsid w:val="0038463C"/>
    <w:rPr>
      <w:sz w:val="20"/>
      <w:szCs w:val="20"/>
      <w:lang w:val="en-US" w:bidi="ar-SA"/>
    </w:rPr>
  </w:style>
  <w:style w:type="paragraph" w:styleId="BalloonText">
    <w:name w:val="Balloon Text"/>
    <w:basedOn w:val="Normal"/>
    <w:link w:val="BalloonTextChar"/>
    <w:uiPriority w:val="99"/>
    <w:semiHidden/>
    <w:unhideWhenUsed/>
    <w:rsid w:val="00C44DD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44DD2"/>
    <w:rPr>
      <w:rFonts w:ascii="Times New Roman" w:hAnsi="Times New Roman" w:cs="Times New Roman"/>
      <w:sz w:val="18"/>
      <w:szCs w:val="18"/>
    </w:rPr>
  </w:style>
  <w:style w:type="character" w:customStyle="1" w:styleId="Heading2Char">
    <w:name w:val="Heading 2 Char"/>
    <w:basedOn w:val="DefaultParagraphFont"/>
    <w:link w:val="Heading2"/>
    <w:uiPriority w:val="9"/>
    <w:rsid w:val="00E53307"/>
    <w:rPr>
      <w:rFonts w:asciiTheme="majorHAnsi" w:eastAsiaTheme="majorEastAsia" w:hAnsiTheme="majorHAnsi" w:cstheme="majorBidi"/>
      <w:color w:val="2F5496" w:themeColor="accent1" w:themeShade="BF"/>
      <w:sz w:val="26"/>
      <w:szCs w:val="26"/>
      <w:lang w:val="en-US" w:bidi="ar-SA"/>
    </w:rPr>
  </w:style>
  <w:style w:type="character" w:styleId="FootnoteReference">
    <w:name w:val="footnote reference"/>
    <w:basedOn w:val="DefaultParagraphFont"/>
    <w:uiPriority w:val="99"/>
    <w:unhideWhenUsed/>
    <w:rsid w:val="00EE46EE"/>
    <w:rPr>
      <w:vertAlign w:val="superscript"/>
    </w:rPr>
  </w:style>
  <w:style w:type="character" w:styleId="Hyperlink">
    <w:name w:val="Hyperlink"/>
    <w:basedOn w:val="DefaultParagraphFont"/>
    <w:uiPriority w:val="99"/>
    <w:unhideWhenUsed/>
    <w:rsid w:val="00EE46EE"/>
    <w:rPr>
      <w:color w:val="0563C1" w:themeColor="hyperlink"/>
      <w:u w:val="single"/>
    </w:rPr>
  </w:style>
  <w:style w:type="character" w:customStyle="1" w:styleId="Heading3Char">
    <w:name w:val="Heading 3 Char"/>
    <w:basedOn w:val="DefaultParagraphFont"/>
    <w:link w:val="Heading3"/>
    <w:uiPriority w:val="9"/>
    <w:rsid w:val="00A33133"/>
    <w:rPr>
      <w:rFonts w:asciiTheme="majorHAnsi" w:eastAsiaTheme="majorEastAsia" w:hAnsiTheme="majorHAnsi" w:cstheme="majorBidi"/>
      <w:color w:val="1F3763" w:themeColor="accent1" w:themeShade="7F"/>
      <w:lang w:val="en-US" w:bidi="ar-SA"/>
    </w:rPr>
  </w:style>
  <w:style w:type="paragraph" w:styleId="Footer">
    <w:name w:val="footer"/>
    <w:basedOn w:val="Normal"/>
    <w:link w:val="FooterChar"/>
    <w:uiPriority w:val="99"/>
    <w:unhideWhenUsed/>
    <w:rsid w:val="00A33133"/>
    <w:pPr>
      <w:tabs>
        <w:tab w:val="center" w:pos="4513"/>
        <w:tab w:val="right" w:pos="9026"/>
      </w:tabs>
    </w:pPr>
    <w:rPr>
      <w:rFonts w:cstheme="minorBidi"/>
      <w:lang w:val="en-US" w:bidi="ar-SA"/>
    </w:rPr>
  </w:style>
  <w:style w:type="character" w:customStyle="1" w:styleId="FooterChar">
    <w:name w:val="Footer Char"/>
    <w:basedOn w:val="DefaultParagraphFont"/>
    <w:link w:val="Footer"/>
    <w:uiPriority w:val="99"/>
    <w:rsid w:val="00A33133"/>
    <w:rPr>
      <w:lang w:val="en-US" w:bidi="ar-SA"/>
    </w:rPr>
  </w:style>
  <w:style w:type="character" w:styleId="EndnoteReference">
    <w:name w:val="endnote reference"/>
    <w:basedOn w:val="DefaultParagraphFont"/>
    <w:uiPriority w:val="99"/>
    <w:semiHidden/>
    <w:unhideWhenUsed/>
    <w:rsid w:val="00BF79F3"/>
    <w:rPr>
      <w:vertAlign w:val="superscript"/>
    </w:rPr>
  </w:style>
  <w:style w:type="paragraph" w:styleId="ListParagraph">
    <w:name w:val="List Paragraph"/>
    <w:basedOn w:val="Normal"/>
    <w:uiPriority w:val="34"/>
    <w:qFormat/>
    <w:rsid w:val="00456CAA"/>
    <w:pPr>
      <w:ind w:left="720"/>
      <w:contextualSpacing/>
    </w:pPr>
    <w:rPr>
      <w:rFonts w:cstheme="minorBidi"/>
      <w:lang w:val="en-US" w:bidi="ar-SA"/>
    </w:rPr>
  </w:style>
  <w:style w:type="table" w:styleId="TableGrid">
    <w:name w:val="Table Grid"/>
    <w:basedOn w:val="TableNormal"/>
    <w:uiPriority w:val="39"/>
    <w:rsid w:val="00456CAA"/>
    <w:rPr>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3C5E"/>
    <w:rPr>
      <w:sz w:val="16"/>
      <w:szCs w:val="16"/>
    </w:rPr>
  </w:style>
  <w:style w:type="paragraph" w:styleId="CommentText">
    <w:name w:val="annotation text"/>
    <w:basedOn w:val="Normal"/>
    <w:link w:val="CommentTextChar"/>
    <w:uiPriority w:val="99"/>
    <w:semiHidden/>
    <w:unhideWhenUsed/>
    <w:rsid w:val="00BB3C5E"/>
    <w:rPr>
      <w:sz w:val="20"/>
      <w:szCs w:val="20"/>
    </w:rPr>
  </w:style>
  <w:style w:type="character" w:customStyle="1" w:styleId="CommentTextChar">
    <w:name w:val="Comment Text Char"/>
    <w:basedOn w:val="DefaultParagraphFont"/>
    <w:link w:val="CommentText"/>
    <w:uiPriority w:val="99"/>
    <w:semiHidden/>
    <w:rsid w:val="00BB3C5E"/>
    <w:rPr>
      <w:rFonts w:cs="Times New Roman"/>
      <w:sz w:val="20"/>
      <w:szCs w:val="20"/>
    </w:rPr>
  </w:style>
  <w:style w:type="paragraph" w:styleId="CommentSubject">
    <w:name w:val="annotation subject"/>
    <w:basedOn w:val="CommentText"/>
    <w:next w:val="CommentText"/>
    <w:link w:val="CommentSubjectChar"/>
    <w:uiPriority w:val="99"/>
    <w:semiHidden/>
    <w:unhideWhenUsed/>
    <w:rsid w:val="00BB3C5E"/>
    <w:rPr>
      <w:b/>
      <w:bCs/>
    </w:rPr>
  </w:style>
  <w:style w:type="character" w:customStyle="1" w:styleId="CommentSubjectChar">
    <w:name w:val="Comment Subject Char"/>
    <w:basedOn w:val="CommentTextChar"/>
    <w:link w:val="CommentSubject"/>
    <w:uiPriority w:val="99"/>
    <w:semiHidden/>
    <w:rsid w:val="00BB3C5E"/>
    <w:rPr>
      <w:rFonts w:cs="Times New Roman"/>
      <w:b/>
      <w:bCs/>
      <w:sz w:val="20"/>
      <w:szCs w:val="20"/>
    </w:rPr>
  </w:style>
  <w:style w:type="paragraph" w:styleId="NormalWeb">
    <w:name w:val="Normal (Web)"/>
    <w:basedOn w:val="Normal"/>
    <w:uiPriority w:val="99"/>
    <w:unhideWhenUsed/>
    <w:rsid w:val="00AF31E5"/>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432043">
      <w:bodyDiv w:val="1"/>
      <w:marLeft w:val="0"/>
      <w:marRight w:val="0"/>
      <w:marTop w:val="0"/>
      <w:marBottom w:val="0"/>
      <w:divBdr>
        <w:top w:val="none" w:sz="0" w:space="0" w:color="auto"/>
        <w:left w:val="none" w:sz="0" w:space="0" w:color="auto"/>
        <w:bottom w:val="none" w:sz="0" w:space="0" w:color="auto"/>
        <w:right w:val="none" w:sz="0" w:space="0" w:color="auto"/>
      </w:divBdr>
    </w:div>
    <w:div w:id="1506432763">
      <w:bodyDiv w:val="1"/>
      <w:marLeft w:val="0"/>
      <w:marRight w:val="0"/>
      <w:marTop w:val="0"/>
      <w:marBottom w:val="0"/>
      <w:divBdr>
        <w:top w:val="none" w:sz="0" w:space="0" w:color="auto"/>
        <w:left w:val="none" w:sz="0" w:space="0" w:color="auto"/>
        <w:bottom w:val="none" w:sz="0" w:space="0" w:color="auto"/>
        <w:right w:val="none" w:sz="0" w:space="0" w:color="auto"/>
      </w:divBdr>
    </w:div>
    <w:div w:id="1674334837">
      <w:bodyDiv w:val="1"/>
      <w:marLeft w:val="0"/>
      <w:marRight w:val="0"/>
      <w:marTop w:val="0"/>
      <w:marBottom w:val="0"/>
      <w:divBdr>
        <w:top w:val="none" w:sz="0" w:space="0" w:color="auto"/>
        <w:left w:val="none" w:sz="0" w:space="0" w:color="auto"/>
        <w:bottom w:val="none" w:sz="0" w:space="0" w:color="auto"/>
        <w:right w:val="none" w:sz="0" w:space="0" w:color="auto"/>
      </w:divBdr>
    </w:div>
    <w:div w:id="202617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kulaw.cn" TargetMode="External"/><Relationship Id="rId2" Type="http://schemas.openxmlformats.org/officeDocument/2006/relationships/hyperlink" Target="mailto:araz.taeihagh@new.oxon.org" TargetMode="External"/><Relationship Id="rId1" Type="http://schemas.openxmlformats.org/officeDocument/2006/relationships/hyperlink" Target="mailto:spparaz@nus.edu.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5D8FC-1107-314D-832E-66E913725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18502</Words>
  <Characters>103801</Characters>
  <Application>Microsoft Office Word</Application>
  <DocSecurity>0</DocSecurity>
  <Lines>1922</Lines>
  <Paragraphs>815</Paragraphs>
  <ScaleCrop>false</ScaleCrop>
  <HeadingPairs>
    <vt:vector size="2" baseType="variant">
      <vt:variant>
        <vt:lpstr>Title</vt:lpstr>
      </vt:variant>
      <vt:variant>
        <vt:i4>1</vt:i4>
      </vt:variant>
    </vt:vector>
  </HeadingPairs>
  <TitlesOfParts>
    <vt:vector size="1" baseType="lpstr">
      <vt:lpstr>Li and Taeihagh 2020 Supplementary Data 1</vt:lpstr>
    </vt:vector>
  </TitlesOfParts>
  <Manager/>
  <Company>LKYSPP, NUS</Company>
  <LinksUpToDate>false</LinksUpToDate>
  <CharactersWithSpaces>121488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 and Taeihagh 2020 Supplementary Data 1</dc:title>
  <dc:subject/>
  <dc:creator>Li and Taeihagh</dc:creator>
  <cp:keywords>Policy mix, Policy evolution, Energy transition, Carbon dioxide emission, Air pollutant abatement, Renewable energy support.</cp:keywords>
  <dc:description/>
  <cp:lastModifiedBy>Revision</cp:lastModifiedBy>
  <cp:revision>4</cp:revision>
  <dcterms:created xsi:type="dcterms:W3CDTF">2020-02-17T05:43:00Z</dcterms:created>
  <dcterms:modified xsi:type="dcterms:W3CDTF">2020-02-17T05:48:00Z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http://www.zotero.org/styles/american-chemical-society-author-date</vt:lpwstr>
  </property>
  <property fmtid="{D5CDD505-2E9C-101B-9397-08002B2CF9AE}" pid="5" name="Mendeley Recent Style Name 1_1">
    <vt:lpwstr>American Chemical Society (author-date)</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http://www.zotero.org/styles/china-economic-journal</vt:lpwstr>
  </property>
  <property fmtid="{D5CDD505-2E9C-101B-9397-08002B2CF9AE}" pid="13" name="Mendeley Recent Style Name 5_1">
    <vt:lpwstr>China Economic Journal</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http://www.zotero.org/styles/science-foundation-in-china</vt:lpwstr>
  </property>
  <property fmtid="{D5CDD505-2E9C-101B-9397-08002B2CF9AE}" pid="17" name="Mendeley Recent Style Name 7_1">
    <vt:lpwstr>Science Foundation in China</vt:lpwstr>
  </property>
  <property fmtid="{D5CDD505-2E9C-101B-9397-08002B2CF9AE}" pid="18" name="Mendeley Recent Style Id 8_1">
    <vt:lpwstr>http://www.zotero.org/styles/social-science-and-medicine</vt:lpwstr>
  </property>
  <property fmtid="{D5CDD505-2E9C-101B-9397-08002B2CF9AE}" pid="19" name="Mendeley Recent Style Name 8_1">
    <vt:lpwstr>Social Science &amp; Medicine</vt:lpwstr>
  </property>
  <property fmtid="{D5CDD505-2E9C-101B-9397-08002B2CF9AE}" pid="20" name="Mendeley Recent Style Id 9_1">
    <vt:lpwstr>http://www.zotero.org/styles/the-journal-of-chinese-sociology</vt:lpwstr>
  </property>
  <property fmtid="{D5CDD505-2E9C-101B-9397-08002B2CF9AE}" pid="21" name="Mendeley Recent Style Name 9_1">
    <vt:lpwstr>The Journal of Chinese Sociology</vt:lpwstr>
  </property>
  <property fmtid="{D5CDD505-2E9C-101B-9397-08002B2CF9AE}" pid="22" name="Mendeley Document_1">
    <vt:lpwstr>True</vt:lpwstr>
  </property>
  <property fmtid="{D5CDD505-2E9C-101B-9397-08002B2CF9AE}" pid="23" name="Mendeley Unique User Id_1">
    <vt:lpwstr>5703cf70-289d-36ec-be1f-198ea4550bed</vt:lpwstr>
  </property>
  <property fmtid="{D5CDD505-2E9C-101B-9397-08002B2CF9AE}" pid="24" name="Mendeley Citation Style_1">
    <vt:lpwstr>http://www.zotero.org/styles/applied-energy</vt:lpwstr>
  </property>
</Properties>
</file>